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03A58" w14:textId="77777777" w:rsidR="00841047" w:rsidRPr="005061D3" w:rsidRDefault="0005046E" w:rsidP="00F669BE">
      <w:pPr>
        <w:jc w:val="center"/>
      </w:pPr>
      <w:bookmarkStart w:id="0" w:name="_GoBack"/>
      <w:bookmarkEnd w:id="0"/>
      <w:r w:rsidRPr="005061D3">
        <w:rPr>
          <w:noProof/>
        </w:rPr>
        <w:drawing>
          <wp:inline distT="0" distB="0" distL="0" distR="0" wp14:anchorId="6E80B2D2" wp14:editId="5A591E4B">
            <wp:extent cx="2278380" cy="949935"/>
            <wp:effectExtent l="0" t="0" r="7620" b="3175"/>
            <wp:docPr id="1" name="Picture 1" descr="CAPLAW Final Logos bl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W Final Logos blk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729" cy="948413"/>
                    </a:xfrm>
                    <a:prstGeom prst="rect">
                      <a:avLst/>
                    </a:prstGeom>
                    <a:noFill/>
                    <a:ln>
                      <a:noFill/>
                    </a:ln>
                  </pic:spPr>
                </pic:pic>
              </a:graphicData>
            </a:graphic>
          </wp:inline>
        </w:drawing>
      </w:r>
    </w:p>
    <w:p w14:paraId="5C7B0840" w14:textId="77777777" w:rsidR="008863A1" w:rsidRPr="002D1280" w:rsidRDefault="002127A6" w:rsidP="00613124">
      <w:pPr>
        <w:pStyle w:val="Default"/>
        <w:jc w:val="center"/>
        <w:rPr>
          <w:rFonts w:asciiTheme="minorHAnsi" w:hAnsiTheme="minorHAnsi"/>
          <w:b/>
          <w:bCs/>
          <w:color w:val="auto"/>
        </w:rPr>
      </w:pPr>
      <w:r w:rsidRPr="002D1280">
        <w:rPr>
          <w:rFonts w:asciiTheme="minorHAnsi" w:hAnsiTheme="minorHAnsi"/>
          <w:b/>
          <w:bCs/>
          <w:color w:val="auto"/>
        </w:rPr>
        <w:t xml:space="preserve">Sample Record Retention </w:t>
      </w:r>
      <w:r w:rsidR="008F5EAD" w:rsidRPr="002D1280">
        <w:rPr>
          <w:rFonts w:asciiTheme="minorHAnsi" w:hAnsiTheme="minorHAnsi"/>
          <w:b/>
          <w:bCs/>
          <w:color w:val="auto"/>
        </w:rPr>
        <w:t xml:space="preserve">and Destruction </w:t>
      </w:r>
      <w:r w:rsidRPr="002D1280">
        <w:rPr>
          <w:rFonts w:asciiTheme="minorHAnsi" w:hAnsiTheme="minorHAnsi"/>
          <w:b/>
          <w:bCs/>
          <w:color w:val="auto"/>
        </w:rPr>
        <w:t>Policy for CAA</w:t>
      </w:r>
      <w:r w:rsidR="0005046E" w:rsidRPr="002D1280">
        <w:rPr>
          <w:rFonts w:asciiTheme="minorHAnsi" w:hAnsiTheme="minorHAnsi"/>
          <w:b/>
          <w:bCs/>
          <w:color w:val="auto"/>
        </w:rPr>
        <w:t>s</w:t>
      </w:r>
    </w:p>
    <w:p w14:paraId="76F8679F" w14:textId="77777777" w:rsidR="002127A6" w:rsidRPr="002D1280" w:rsidRDefault="00E56932" w:rsidP="00613124">
      <w:pPr>
        <w:pStyle w:val="Default"/>
        <w:jc w:val="center"/>
        <w:rPr>
          <w:rFonts w:asciiTheme="minorHAnsi" w:hAnsiTheme="minorHAnsi"/>
          <w:bCs/>
          <w:sz w:val="22"/>
          <w:szCs w:val="22"/>
        </w:rPr>
      </w:pPr>
      <w:r>
        <w:rPr>
          <w:rFonts w:asciiTheme="minorHAnsi" w:hAnsiTheme="minorHAnsi"/>
          <w:bCs/>
          <w:color w:val="auto"/>
          <w:sz w:val="22"/>
          <w:szCs w:val="22"/>
        </w:rPr>
        <w:t xml:space="preserve">Updated </w:t>
      </w:r>
      <w:r w:rsidR="000B6ED9" w:rsidRPr="002D1280">
        <w:rPr>
          <w:rFonts w:asciiTheme="minorHAnsi" w:hAnsiTheme="minorHAnsi"/>
          <w:bCs/>
          <w:color w:val="auto"/>
          <w:sz w:val="22"/>
          <w:szCs w:val="22"/>
        </w:rPr>
        <w:t>June 2020</w:t>
      </w:r>
    </w:p>
    <w:p w14:paraId="32AC3FF0" w14:textId="77777777" w:rsidR="0005046E" w:rsidRPr="002D1280" w:rsidRDefault="0005046E" w:rsidP="002127A6">
      <w:pPr>
        <w:autoSpaceDE w:val="0"/>
        <w:autoSpaceDN w:val="0"/>
        <w:adjustRightInd w:val="0"/>
        <w:rPr>
          <w:rFonts w:asciiTheme="minorHAnsi" w:hAnsiTheme="minorHAnsi"/>
          <w:b/>
          <w:i/>
          <w:color w:val="000000"/>
          <w:sz w:val="22"/>
          <w:szCs w:val="22"/>
        </w:rPr>
      </w:pPr>
    </w:p>
    <w:p w14:paraId="151DB9B9" w14:textId="77777777" w:rsidR="00E56932" w:rsidRDefault="00E56932" w:rsidP="00E56932">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2"/>
          <w:szCs w:val="22"/>
          <w:lang w:val="en-US"/>
        </w:rPr>
      </w:pPr>
    </w:p>
    <w:p w14:paraId="306AB863" w14:textId="77777777" w:rsidR="0005046E" w:rsidRPr="002D1280" w:rsidRDefault="0005046E" w:rsidP="002D1280">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2"/>
          <w:szCs w:val="22"/>
        </w:rPr>
      </w:pPr>
      <w:r w:rsidRPr="002D1280">
        <w:rPr>
          <w:rFonts w:asciiTheme="minorHAnsi" w:hAnsiTheme="minorHAnsi"/>
          <w:b/>
          <w:i/>
          <w:sz w:val="22"/>
          <w:szCs w:val="22"/>
          <w:lang w:val="en-US"/>
        </w:rPr>
        <w:t xml:space="preserve">This sample record retention </w:t>
      </w:r>
      <w:r w:rsidR="008F5EAD" w:rsidRPr="002D1280">
        <w:rPr>
          <w:rFonts w:asciiTheme="minorHAnsi" w:hAnsiTheme="minorHAnsi"/>
          <w:b/>
          <w:i/>
          <w:sz w:val="22"/>
          <w:szCs w:val="22"/>
          <w:lang w:val="en-US"/>
        </w:rPr>
        <w:t xml:space="preserve">and destruction </w:t>
      </w:r>
      <w:r w:rsidRPr="002D1280">
        <w:rPr>
          <w:rFonts w:asciiTheme="minorHAnsi" w:hAnsiTheme="minorHAnsi"/>
          <w:b/>
          <w:i/>
          <w:sz w:val="22"/>
          <w:szCs w:val="22"/>
          <w:lang w:val="en-US"/>
        </w:rPr>
        <w:t>policy was developed by Community Action Program Legal Services, Inc. (CAPLAW) and has not been approved by any outside authority, such as the U.S. Department of Health and Human Services</w:t>
      </w:r>
      <w:r w:rsidR="002D1280">
        <w:rPr>
          <w:rFonts w:asciiTheme="minorHAnsi" w:hAnsiTheme="minorHAnsi"/>
          <w:b/>
          <w:i/>
          <w:sz w:val="22"/>
          <w:szCs w:val="22"/>
          <w:lang w:val="en-US"/>
        </w:rPr>
        <w:t>.</w:t>
      </w:r>
      <w:r w:rsidRPr="002D1280">
        <w:rPr>
          <w:rFonts w:asciiTheme="minorHAnsi" w:hAnsiTheme="minorHAnsi"/>
          <w:b/>
          <w:i/>
          <w:sz w:val="22"/>
          <w:szCs w:val="22"/>
          <w:lang w:val="en-US"/>
        </w:rPr>
        <w:t xml:space="preserve"> You should </w:t>
      </w:r>
      <w:r w:rsidR="00E56932">
        <w:rPr>
          <w:rFonts w:asciiTheme="minorHAnsi" w:hAnsiTheme="minorHAnsi"/>
          <w:b/>
          <w:i/>
          <w:sz w:val="22"/>
          <w:szCs w:val="22"/>
          <w:lang w:val="en-US"/>
        </w:rPr>
        <w:t xml:space="preserve">thoughtfully </w:t>
      </w:r>
      <w:r w:rsidRPr="002D1280">
        <w:rPr>
          <w:rFonts w:asciiTheme="minorHAnsi" w:hAnsiTheme="minorHAnsi"/>
          <w:b/>
          <w:i/>
          <w:sz w:val="22"/>
          <w:szCs w:val="22"/>
          <w:lang w:val="en-US"/>
        </w:rPr>
        <w:t>review this sample policy</w:t>
      </w:r>
      <w:r w:rsidR="002D1280">
        <w:rPr>
          <w:rFonts w:asciiTheme="minorHAnsi" w:hAnsiTheme="minorHAnsi"/>
          <w:b/>
          <w:i/>
          <w:sz w:val="22"/>
          <w:szCs w:val="22"/>
          <w:lang w:val="en-US"/>
        </w:rPr>
        <w:t xml:space="preserve"> </w:t>
      </w:r>
      <w:r w:rsidRPr="002D1280">
        <w:rPr>
          <w:rFonts w:asciiTheme="minorHAnsi" w:hAnsiTheme="minorHAnsi"/>
          <w:b/>
          <w:i/>
          <w:sz w:val="22"/>
          <w:szCs w:val="22"/>
          <w:lang w:val="en-US"/>
        </w:rPr>
        <w:t xml:space="preserve">and modify it as necessary to meet the individual needs of your organization and to comply with any </w:t>
      </w:r>
      <w:r w:rsidR="002D1280">
        <w:rPr>
          <w:rFonts w:asciiTheme="minorHAnsi" w:hAnsiTheme="minorHAnsi"/>
          <w:b/>
          <w:i/>
          <w:sz w:val="22"/>
          <w:szCs w:val="22"/>
          <w:lang w:val="en-US"/>
        </w:rPr>
        <w:t xml:space="preserve">applicable </w:t>
      </w:r>
      <w:r w:rsidRPr="002D1280">
        <w:rPr>
          <w:rFonts w:asciiTheme="minorHAnsi" w:hAnsiTheme="minorHAnsi"/>
          <w:b/>
          <w:i/>
          <w:sz w:val="22"/>
          <w:szCs w:val="22"/>
          <w:lang w:val="en-US"/>
        </w:rPr>
        <w:t>laws and regulations. CAPLAW strongly recommends that when working with this sample policy, you consult with an attorney in your state who is well-versed in state laws related to the retention of records.</w:t>
      </w:r>
    </w:p>
    <w:p w14:paraId="09308110" w14:textId="77777777" w:rsidR="0005046E" w:rsidRPr="002D1280" w:rsidRDefault="0005046E" w:rsidP="0005046E">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2"/>
          <w:szCs w:val="22"/>
          <w:lang w:val="en-US"/>
        </w:rPr>
      </w:pPr>
    </w:p>
    <w:p w14:paraId="24D40726" w14:textId="77777777" w:rsidR="0005046E" w:rsidRPr="002D1280" w:rsidRDefault="0005046E" w:rsidP="0005046E">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iCs/>
          <w:sz w:val="22"/>
          <w:szCs w:val="22"/>
        </w:rPr>
      </w:pPr>
      <w:r w:rsidRPr="002D1280">
        <w:rPr>
          <w:rFonts w:asciiTheme="minorHAnsi" w:hAnsiTheme="minorHAnsi"/>
          <w:b/>
          <w:i/>
          <w:iCs/>
          <w:sz w:val="22"/>
          <w:szCs w:val="22"/>
        </w:rPr>
        <w:t xml:space="preserve">This </w:t>
      </w:r>
      <w:r w:rsidRPr="002D1280">
        <w:rPr>
          <w:rFonts w:asciiTheme="minorHAnsi" w:hAnsiTheme="minorHAnsi"/>
          <w:b/>
          <w:i/>
          <w:iCs/>
          <w:sz w:val="22"/>
          <w:szCs w:val="22"/>
          <w:lang w:val="en-US"/>
        </w:rPr>
        <w:t>publication</w:t>
      </w:r>
      <w:r w:rsidRPr="002D1280">
        <w:rPr>
          <w:rFonts w:asciiTheme="minorHAnsi" w:hAnsiTheme="minorHAnsi"/>
          <w:b/>
          <w:i/>
          <w:iCs/>
          <w:sz w:val="22"/>
          <w:szCs w:val="22"/>
        </w:rPr>
        <w:t xml:space="preserve"> is part of the Community Services Block Grant (CSBG) Legal Training and Technical Assistance Center. It was created by </w:t>
      </w:r>
      <w:r w:rsidRPr="002D1280">
        <w:rPr>
          <w:rFonts w:asciiTheme="minorHAnsi" w:hAnsiTheme="minorHAnsi"/>
          <w:b/>
          <w:i/>
          <w:iCs/>
          <w:sz w:val="22"/>
          <w:szCs w:val="22"/>
          <w:lang w:val="en-US"/>
        </w:rPr>
        <w:t>CAPLAW</w:t>
      </w:r>
      <w:r w:rsidRPr="002D1280">
        <w:rPr>
          <w:rFonts w:asciiTheme="minorHAnsi" w:hAnsiTheme="minorHAnsi"/>
          <w:b/>
          <w:i/>
          <w:iCs/>
          <w:sz w:val="22"/>
          <w:szCs w:val="22"/>
        </w:rPr>
        <w:t xml:space="preserve"> in the performance of the U.S. Department of Health and Human Services, Administration for Children and Families, Office of Community Services Cooperative Agreement – Grant Award Number </w:t>
      </w:r>
      <w:r w:rsidRPr="00004CA0">
        <w:rPr>
          <w:rFonts w:asciiTheme="minorHAnsi" w:hAnsiTheme="minorHAnsi"/>
          <w:b/>
          <w:i/>
          <w:iCs/>
          <w:sz w:val="22"/>
          <w:szCs w:val="22"/>
        </w:rPr>
        <w:t>90ET04</w:t>
      </w:r>
      <w:r w:rsidRPr="00004CA0">
        <w:rPr>
          <w:rFonts w:asciiTheme="minorHAnsi" w:hAnsiTheme="minorHAnsi"/>
          <w:b/>
          <w:i/>
          <w:iCs/>
          <w:sz w:val="22"/>
          <w:szCs w:val="22"/>
          <w:lang w:val="en-US"/>
        </w:rPr>
        <w:t>67</w:t>
      </w:r>
      <w:r w:rsidRPr="00004CA0">
        <w:rPr>
          <w:rFonts w:asciiTheme="minorHAnsi" w:hAnsiTheme="minorHAnsi"/>
          <w:b/>
          <w:i/>
          <w:iCs/>
          <w:sz w:val="22"/>
          <w:szCs w:val="22"/>
        </w:rPr>
        <w:t>-0</w:t>
      </w:r>
      <w:r w:rsidR="00F14E2D" w:rsidRPr="00004CA0">
        <w:rPr>
          <w:rFonts w:asciiTheme="minorHAnsi" w:hAnsiTheme="minorHAnsi"/>
          <w:b/>
          <w:i/>
          <w:iCs/>
          <w:sz w:val="22"/>
          <w:szCs w:val="22"/>
          <w:lang w:val="en-US"/>
        </w:rPr>
        <w:t>3</w:t>
      </w:r>
      <w:r w:rsidRPr="00004CA0">
        <w:rPr>
          <w:rFonts w:asciiTheme="minorHAnsi" w:hAnsiTheme="minorHAnsi"/>
          <w:b/>
          <w:i/>
          <w:iCs/>
          <w:sz w:val="22"/>
          <w:szCs w:val="22"/>
        </w:rPr>
        <w:t>.</w:t>
      </w:r>
      <w:r w:rsidRPr="002D1280">
        <w:rPr>
          <w:rFonts w:asciiTheme="minorHAnsi" w:hAnsiTheme="minorHAnsi"/>
          <w:b/>
          <w:i/>
          <w:iCs/>
          <w:sz w:val="22"/>
          <w:szCs w:val="22"/>
        </w:rPr>
        <w:t xml:space="preserve"> Any opinion, findings,</w:t>
      </w:r>
      <w:r w:rsidRPr="002D1280">
        <w:rPr>
          <w:rFonts w:asciiTheme="minorHAnsi" w:hAnsiTheme="minorHAnsi"/>
          <w:b/>
          <w:i/>
          <w:iCs/>
          <w:sz w:val="22"/>
          <w:szCs w:val="22"/>
          <w:lang w:val="en-US"/>
        </w:rPr>
        <w:t xml:space="preserve"> </w:t>
      </w:r>
      <w:r w:rsidRPr="002D1280">
        <w:rPr>
          <w:rFonts w:asciiTheme="minorHAnsi" w:hAnsiTheme="minorHAnsi"/>
          <w:b/>
          <w:i/>
          <w:iCs/>
          <w:sz w:val="22"/>
          <w:szCs w:val="22"/>
        </w:rPr>
        <w:t xml:space="preserve">conclusions, or recommendations expressed </w:t>
      </w:r>
      <w:r w:rsidRPr="002D1280">
        <w:rPr>
          <w:rFonts w:asciiTheme="minorHAnsi" w:hAnsiTheme="minorHAnsi"/>
          <w:b/>
          <w:i/>
          <w:iCs/>
          <w:sz w:val="22"/>
          <w:szCs w:val="22"/>
          <w:lang w:val="en-US"/>
        </w:rPr>
        <w:t>i</w:t>
      </w:r>
      <w:r w:rsidRPr="002D1280">
        <w:rPr>
          <w:rFonts w:asciiTheme="minorHAnsi" w:hAnsiTheme="minorHAnsi"/>
          <w:b/>
          <w:i/>
          <w:iCs/>
          <w:sz w:val="22"/>
          <w:szCs w:val="22"/>
        </w:rPr>
        <w:t>n this material are those of the author(s) and do not necessarily reflect the views of the U.S. Department of Health and Human Services, Administration for Children and Families.</w:t>
      </w:r>
    </w:p>
    <w:p w14:paraId="75230974" w14:textId="77777777" w:rsidR="0005046E" w:rsidRPr="002D1280" w:rsidRDefault="0005046E" w:rsidP="0005046E">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iCs/>
          <w:sz w:val="22"/>
          <w:szCs w:val="22"/>
        </w:rPr>
      </w:pPr>
    </w:p>
    <w:p w14:paraId="5C2EA060" w14:textId="77777777" w:rsidR="00E56932" w:rsidRDefault="0005046E" w:rsidP="0005046E">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2"/>
          <w:szCs w:val="22"/>
          <w:lang w:val="en-US"/>
        </w:rPr>
      </w:pPr>
      <w:r w:rsidRPr="002D1280">
        <w:rPr>
          <w:rFonts w:asciiTheme="minorHAnsi" w:hAnsiTheme="minorHAnsi"/>
          <w:b/>
          <w:i/>
          <w:sz w:val="22"/>
          <w:szCs w:val="22"/>
        </w:rPr>
        <w:t>The contents of this publication are intended to convey general information only and do not constitute legal advice. This publication does not constitute or create an attorney-client relationship. If you need legal advice, please contact CAPLAW or another attorney directly</w:t>
      </w:r>
      <w:r w:rsidR="00E56932">
        <w:rPr>
          <w:rFonts w:asciiTheme="minorHAnsi" w:hAnsiTheme="minorHAnsi"/>
          <w:b/>
          <w:i/>
          <w:sz w:val="22"/>
          <w:szCs w:val="22"/>
          <w:lang w:val="en-US"/>
        </w:rPr>
        <w:t>.</w:t>
      </w:r>
    </w:p>
    <w:p w14:paraId="03CB58D2" w14:textId="77777777" w:rsidR="0005046E" w:rsidRPr="002D1280" w:rsidRDefault="0005046E" w:rsidP="0005046E">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2"/>
          <w:szCs w:val="22"/>
          <w:lang w:val="en-US"/>
        </w:rPr>
      </w:pPr>
    </w:p>
    <w:p w14:paraId="2B1B30E1" w14:textId="77777777" w:rsidR="0005046E" w:rsidRPr="002D1280" w:rsidRDefault="0005046E" w:rsidP="002127A6">
      <w:pPr>
        <w:autoSpaceDE w:val="0"/>
        <w:autoSpaceDN w:val="0"/>
        <w:adjustRightInd w:val="0"/>
        <w:rPr>
          <w:rFonts w:asciiTheme="minorHAnsi" w:hAnsiTheme="minorHAnsi"/>
          <w:b/>
          <w:i/>
          <w:color w:val="000000"/>
          <w:sz w:val="22"/>
          <w:szCs w:val="22"/>
        </w:rPr>
      </w:pPr>
    </w:p>
    <w:p w14:paraId="4D2EF13E" w14:textId="77777777" w:rsidR="00A97813" w:rsidRPr="002D1280" w:rsidRDefault="00A97813">
      <w:pPr>
        <w:rPr>
          <w:rFonts w:asciiTheme="minorHAnsi" w:hAnsiTheme="minorHAnsi"/>
          <w:color w:val="000000"/>
          <w:sz w:val="22"/>
          <w:szCs w:val="22"/>
        </w:rPr>
      </w:pPr>
      <w:r w:rsidRPr="002D1280">
        <w:rPr>
          <w:rFonts w:asciiTheme="minorHAnsi" w:hAnsiTheme="minorHAnsi"/>
          <w:color w:val="000000"/>
          <w:sz w:val="22"/>
          <w:szCs w:val="22"/>
        </w:rPr>
        <w:br w:type="page"/>
      </w:r>
    </w:p>
    <w:p w14:paraId="1CE9B8A2" w14:textId="77777777" w:rsidR="00A97813" w:rsidRPr="002D1280" w:rsidRDefault="00A97813" w:rsidP="00A97813">
      <w:pPr>
        <w:rPr>
          <w:rFonts w:asciiTheme="minorHAnsi" w:hAnsiTheme="minorHAnsi"/>
          <w:b/>
          <w:color w:val="000000"/>
        </w:rPr>
      </w:pPr>
      <w:r w:rsidRPr="002D1280">
        <w:rPr>
          <w:rFonts w:asciiTheme="minorHAnsi" w:hAnsiTheme="minorHAnsi"/>
          <w:b/>
          <w:color w:val="000000"/>
        </w:rPr>
        <w:lastRenderedPageBreak/>
        <w:t>How to Use This Sample Policy</w:t>
      </w:r>
    </w:p>
    <w:p w14:paraId="4D5CE1E9" w14:textId="77777777" w:rsidR="00A97813" w:rsidRPr="002D1280" w:rsidRDefault="00A97813" w:rsidP="00A97813">
      <w:pPr>
        <w:rPr>
          <w:rFonts w:asciiTheme="minorHAnsi" w:hAnsiTheme="minorHAnsi"/>
          <w:color w:val="000000"/>
          <w:sz w:val="22"/>
          <w:szCs w:val="22"/>
        </w:rPr>
      </w:pPr>
    </w:p>
    <w:p w14:paraId="568C217D" w14:textId="1750275C" w:rsidR="008F67CC" w:rsidRDefault="00A97813" w:rsidP="00A97813">
      <w:pPr>
        <w:rPr>
          <w:rFonts w:asciiTheme="minorHAnsi" w:hAnsiTheme="minorHAnsi"/>
          <w:color w:val="000000"/>
          <w:sz w:val="22"/>
          <w:szCs w:val="22"/>
        </w:rPr>
      </w:pPr>
      <w:r w:rsidRPr="002D1280" w:rsidDel="00946618">
        <w:rPr>
          <w:rFonts w:asciiTheme="minorHAnsi" w:hAnsiTheme="minorHAnsi"/>
          <w:color w:val="000000"/>
          <w:sz w:val="22"/>
          <w:szCs w:val="22"/>
        </w:rPr>
        <w:t xml:space="preserve">This </w:t>
      </w:r>
      <w:r w:rsidRPr="002D1280">
        <w:rPr>
          <w:rFonts w:asciiTheme="minorHAnsi" w:hAnsiTheme="minorHAnsi"/>
          <w:color w:val="000000"/>
          <w:sz w:val="22"/>
          <w:szCs w:val="22"/>
        </w:rPr>
        <w:t>s</w:t>
      </w:r>
      <w:r w:rsidRPr="002D1280" w:rsidDel="00946618">
        <w:rPr>
          <w:rFonts w:asciiTheme="minorHAnsi" w:hAnsiTheme="minorHAnsi"/>
          <w:color w:val="000000"/>
          <w:sz w:val="22"/>
          <w:szCs w:val="22"/>
        </w:rPr>
        <w:t xml:space="preserve">ample </w:t>
      </w:r>
      <w:r w:rsidR="008F5EAD" w:rsidRPr="002D1280">
        <w:rPr>
          <w:rFonts w:asciiTheme="minorHAnsi" w:hAnsiTheme="minorHAnsi"/>
          <w:color w:val="000000"/>
          <w:sz w:val="22"/>
          <w:szCs w:val="22"/>
        </w:rPr>
        <w:t>record retention and destruction</w:t>
      </w:r>
      <w:r w:rsidRPr="002D1280" w:rsidDel="00946618">
        <w:rPr>
          <w:rFonts w:asciiTheme="minorHAnsi" w:hAnsiTheme="minorHAnsi"/>
          <w:color w:val="000000"/>
          <w:sz w:val="22"/>
          <w:szCs w:val="22"/>
        </w:rPr>
        <w:t xml:space="preserve"> </w:t>
      </w:r>
      <w:r w:rsidRPr="002D1280">
        <w:rPr>
          <w:rFonts w:asciiTheme="minorHAnsi" w:hAnsiTheme="minorHAnsi"/>
          <w:color w:val="000000"/>
          <w:sz w:val="22"/>
          <w:szCs w:val="22"/>
        </w:rPr>
        <w:t>p</w:t>
      </w:r>
      <w:r w:rsidRPr="002D1280" w:rsidDel="00946618">
        <w:rPr>
          <w:rFonts w:asciiTheme="minorHAnsi" w:hAnsiTheme="minorHAnsi"/>
          <w:color w:val="000000"/>
          <w:sz w:val="22"/>
          <w:szCs w:val="22"/>
        </w:rPr>
        <w:t xml:space="preserve">olicy </w:t>
      </w:r>
      <w:r w:rsidRPr="002D1280">
        <w:rPr>
          <w:rFonts w:asciiTheme="minorHAnsi" w:hAnsiTheme="minorHAnsi"/>
          <w:color w:val="000000"/>
          <w:sz w:val="22"/>
          <w:szCs w:val="22"/>
        </w:rPr>
        <w:t xml:space="preserve">is intended </w:t>
      </w:r>
      <w:r w:rsidRPr="002D1280" w:rsidDel="00946618">
        <w:rPr>
          <w:rFonts w:asciiTheme="minorHAnsi" w:hAnsiTheme="minorHAnsi"/>
          <w:color w:val="000000"/>
          <w:sz w:val="22"/>
          <w:szCs w:val="22"/>
        </w:rPr>
        <w:t xml:space="preserve">to help CAAs </w:t>
      </w:r>
      <w:r w:rsidR="004246FA">
        <w:rPr>
          <w:rFonts w:asciiTheme="minorHAnsi" w:hAnsiTheme="minorHAnsi"/>
          <w:color w:val="000000"/>
          <w:sz w:val="22"/>
          <w:szCs w:val="22"/>
        </w:rPr>
        <w:t xml:space="preserve">develop a policy that facilitates compliance </w:t>
      </w:r>
      <w:r w:rsidRPr="002D1280" w:rsidDel="00946618">
        <w:rPr>
          <w:rFonts w:asciiTheme="minorHAnsi" w:hAnsiTheme="minorHAnsi"/>
          <w:color w:val="000000"/>
          <w:sz w:val="22"/>
          <w:szCs w:val="22"/>
        </w:rPr>
        <w:t>with</w:t>
      </w:r>
      <w:r w:rsidRPr="002D1280">
        <w:rPr>
          <w:rFonts w:asciiTheme="minorHAnsi" w:hAnsiTheme="minorHAnsi"/>
          <w:color w:val="000000"/>
          <w:sz w:val="22"/>
          <w:szCs w:val="22"/>
        </w:rPr>
        <w:t xml:space="preserve"> </w:t>
      </w:r>
      <w:r w:rsidRPr="002D1280" w:rsidDel="00946618">
        <w:rPr>
          <w:rFonts w:asciiTheme="minorHAnsi" w:hAnsiTheme="minorHAnsi"/>
          <w:color w:val="000000"/>
          <w:sz w:val="22"/>
          <w:szCs w:val="22"/>
        </w:rPr>
        <w:t xml:space="preserve">federal </w:t>
      </w:r>
      <w:r w:rsidR="004246FA">
        <w:rPr>
          <w:rFonts w:asciiTheme="minorHAnsi" w:hAnsiTheme="minorHAnsi"/>
          <w:color w:val="000000"/>
          <w:sz w:val="22"/>
          <w:szCs w:val="22"/>
        </w:rPr>
        <w:t>and state record retention requirements</w:t>
      </w:r>
      <w:r w:rsidR="008F5EAD" w:rsidRPr="002D1280">
        <w:rPr>
          <w:rFonts w:asciiTheme="minorHAnsi" w:hAnsiTheme="minorHAnsi"/>
          <w:color w:val="000000"/>
          <w:sz w:val="22"/>
          <w:szCs w:val="22"/>
        </w:rPr>
        <w:t>.</w:t>
      </w:r>
      <w:r w:rsidR="000E3A4C" w:rsidRPr="002D1280">
        <w:rPr>
          <w:rFonts w:asciiTheme="minorHAnsi" w:hAnsiTheme="minorHAnsi"/>
          <w:color w:val="000000"/>
          <w:sz w:val="22"/>
          <w:szCs w:val="22"/>
        </w:rPr>
        <w:t xml:space="preserve"> </w:t>
      </w:r>
      <w:r w:rsidR="00844763" w:rsidRPr="00844763">
        <w:rPr>
          <w:rFonts w:asciiTheme="minorHAnsi" w:hAnsiTheme="minorHAnsi"/>
          <w:color w:val="000000"/>
          <w:sz w:val="22"/>
          <w:szCs w:val="22"/>
        </w:rPr>
        <w:t xml:space="preserve">The </w:t>
      </w:r>
      <w:r w:rsidR="00380EE1">
        <w:rPr>
          <w:rFonts w:asciiTheme="minorHAnsi" w:hAnsiTheme="minorHAnsi"/>
          <w:color w:val="000000"/>
          <w:sz w:val="22"/>
          <w:szCs w:val="22"/>
        </w:rPr>
        <w:t xml:space="preserve">record retention periods provided in this sample policy </w:t>
      </w:r>
      <w:r w:rsidR="00844763">
        <w:rPr>
          <w:rFonts w:asciiTheme="minorHAnsi" w:hAnsiTheme="minorHAnsi"/>
          <w:color w:val="000000"/>
          <w:sz w:val="22"/>
          <w:szCs w:val="22"/>
        </w:rPr>
        <w:t>are derived from federal laws and regulations</w:t>
      </w:r>
      <w:r w:rsidR="00004CA0">
        <w:rPr>
          <w:rFonts w:asciiTheme="minorHAnsi" w:hAnsiTheme="minorHAnsi"/>
          <w:color w:val="000000"/>
          <w:sz w:val="22"/>
          <w:szCs w:val="22"/>
        </w:rPr>
        <w:t xml:space="preserve"> </w:t>
      </w:r>
      <w:r w:rsidR="00844763">
        <w:rPr>
          <w:rFonts w:asciiTheme="minorHAnsi" w:hAnsiTheme="minorHAnsi"/>
          <w:color w:val="000000"/>
          <w:sz w:val="22"/>
          <w:szCs w:val="22"/>
        </w:rPr>
        <w:t xml:space="preserve">as well as from guidance on best practices. </w:t>
      </w:r>
      <w:r w:rsidR="008E09F5" w:rsidRPr="008E09F5">
        <w:rPr>
          <w:rFonts w:asciiTheme="minorHAnsi" w:hAnsiTheme="minorHAnsi"/>
          <w:color w:val="000000"/>
          <w:sz w:val="22"/>
          <w:szCs w:val="22"/>
        </w:rPr>
        <w:t xml:space="preserve">A CAA adapting this sample policy should understand the laws that apply directly to its records, and the specific retention requirements contained therein. </w:t>
      </w:r>
      <w:r w:rsidR="008E09F5">
        <w:rPr>
          <w:rFonts w:asciiTheme="minorHAnsi" w:hAnsiTheme="minorHAnsi"/>
          <w:color w:val="000000"/>
          <w:sz w:val="22"/>
          <w:szCs w:val="22"/>
        </w:rPr>
        <w:t>Generally,</w:t>
      </w:r>
      <w:r w:rsidR="008E09F5" w:rsidRPr="008E09F5">
        <w:rPr>
          <w:rFonts w:asciiTheme="minorHAnsi" w:hAnsiTheme="minorHAnsi"/>
          <w:color w:val="000000"/>
          <w:sz w:val="22"/>
          <w:szCs w:val="22"/>
        </w:rPr>
        <w:t xml:space="preserve"> record retention periods</w:t>
      </w:r>
      <w:r w:rsidR="006C758F">
        <w:rPr>
          <w:rFonts w:asciiTheme="minorHAnsi" w:hAnsiTheme="minorHAnsi"/>
          <w:color w:val="000000"/>
          <w:sz w:val="22"/>
          <w:szCs w:val="22"/>
        </w:rPr>
        <w:t xml:space="preserve"> </w:t>
      </w:r>
      <w:r w:rsidR="008E09F5">
        <w:rPr>
          <w:rFonts w:asciiTheme="minorHAnsi" w:hAnsiTheme="minorHAnsi"/>
          <w:color w:val="000000"/>
          <w:sz w:val="22"/>
          <w:szCs w:val="22"/>
        </w:rPr>
        <w:t>are</w:t>
      </w:r>
      <w:r w:rsidR="008E09F5" w:rsidRPr="008E09F5">
        <w:rPr>
          <w:rFonts w:asciiTheme="minorHAnsi" w:hAnsiTheme="minorHAnsi"/>
          <w:color w:val="000000"/>
          <w:sz w:val="22"/>
          <w:szCs w:val="22"/>
        </w:rPr>
        <w:t xml:space="preserve"> </w:t>
      </w:r>
      <w:r w:rsidR="008E09F5">
        <w:rPr>
          <w:rFonts w:asciiTheme="minorHAnsi" w:hAnsiTheme="minorHAnsi"/>
          <w:color w:val="000000"/>
          <w:sz w:val="22"/>
          <w:szCs w:val="22"/>
        </w:rPr>
        <w:t>dictated</w:t>
      </w:r>
      <w:r w:rsidR="008E09F5" w:rsidRPr="008E09F5">
        <w:rPr>
          <w:rFonts w:asciiTheme="minorHAnsi" w:hAnsiTheme="minorHAnsi"/>
          <w:color w:val="000000"/>
          <w:sz w:val="22"/>
          <w:szCs w:val="22"/>
        </w:rPr>
        <w:t xml:space="preserve"> by the statute of limitations for a claim that may </w:t>
      </w:r>
      <w:r w:rsidR="008E09F5">
        <w:rPr>
          <w:rFonts w:asciiTheme="minorHAnsi" w:hAnsiTheme="minorHAnsi"/>
          <w:color w:val="000000"/>
          <w:sz w:val="22"/>
          <w:szCs w:val="22"/>
        </w:rPr>
        <w:t>arise with respect to</w:t>
      </w:r>
      <w:r w:rsidR="008E09F5" w:rsidRPr="008E09F5">
        <w:rPr>
          <w:rFonts w:asciiTheme="minorHAnsi" w:hAnsiTheme="minorHAnsi"/>
          <w:color w:val="000000"/>
          <w:sz w:val="22"/>
          <w:szCs w:val="22"/>
        </w:rPr>
        <w:t xml:space="preserve"> a CAA’s records. </w:t>
      </w:r>
      <w:r w:rsidR="00DC20A7">
        <w:rPr>
          <w:rFonts w:asciiTheme="minorHAnsi" w:hAnsiTheme="minorHAnsi"/>
          <w:color w:val="000000"/>
          <w:sz w:val="22"/>
          <w:szCs w:val="22"/>
        </w:rPr>
        <w:t>A</w:t>
      </w:r>
      <w:r w:rsidR="008E09F5" w:rsidRPr="008E09F5">
        <w:rPr>
          <w:rFonts w:asciiTheme="minorHAnsi" w:hAnsiTheme="minorHAnsi"/>
          <w:color w:val="000000"/>
          <w:sz w:val="22"/>
          <w:szCs w:val="22"/>
        </w:rPr>
        <w:t xml:space="preserve"> record should be retained at least until the statute of limitations for that potential claim has expired. Statutes of limitations are informed by both federal and state laws. </w:t>
      </w:r>
    </w:p>
    <w:p w14:paraId="58EDADE6" w14:textId="77777777" w:rsidR="008F67CC" w:rsidRDefault="008F67CC" w:rsidP="00A97813">
      <w:pPr>
        <w:rPr>
          <w:rFonts w:asciiTheme="minorHAnsi" w:hAnsiTheme="minorHAnsi"/>
          <w:color w:val="000000"/>
          <w:sz w:val="22"/>
          <w:szCs w:val="22"/>
        </w:rPr>
      </w:pPr>
    </w:p>
    <w:p w14:paraId="31352334" w14:textId="60A000C2" w:rsidR="008E09F5" w:rsidRDefault="008F67CC" w:rsidP="00A97813">
      <w:pPr>
        <w:rPr>
          <w:rFonts w:asciiTheme="minorHAnsi" w:hAnsiTheme="minorHAnsi"/>
          <w:color w:val="000000"/>
          <w:sz w:val="22"/>
          <w:szCs w:val="22"/>
        </w:rPr>
      </w:pPr>
      <w:r>
        <w:rPr>
          <w:rFonts w:asciiTheme="minorHAnsi" w:hAnsiTheme="minorHAnsi"/>
          <w:color w:val="000000"/>
          <w:sz w:val="22"/>
          <w:szCs w:val="22"/>
        </w:rPr>
        <w:t>This sample policy does not</w:t>
      </w:r>
      <w:r w:rsidRPr="002D1280">
        <w:rPr>
          <w:rFonts w:asciiTheme="minorHAnsi" w:hAnsiTheme="minorHAnsi"/>
          <w:color w:val="000000"/>
          <w:sz w:val="22"/>
          <w:szCs w:val="22"/>
        </w:rPr>
        <w:t xml:space="preserve"> </w:t>
      </w:r>
      <w:r>
        <w:rPr>
          <w:rFonts w:asciiTheme="minorHAnsi" w:hAnsiTheme="minorHAnsi"/>
          <w:color w:val="000000"/>
          <w:sz w:val="22"/>
          <w:szCs w:val="22"/>
        </w:rPr>
        <w:t xml:space="preserve">address </w:t>
      </w:r>
      <w:r w:rsidRPr="002D1280">
        <w:rPr>
          <w:rFonts w:asciiTheme="minorHAnsi" w:hAnsiTheme="minorHAnsi"/>
          <w:color w:val="000000"/>
          <w:sz w:val="22"/>
          <w:szCs w:val="22"/>
        </w:rPr>
        <w:t>state laws</w:t>
      </w:r>
      <w:r>
        <w:rPr>
          <w:rFonts w:asciiTheme="minorHAnsi" w:hAnsiTheme="minorHAnsi"/>
          <w:color w:val="000000"/>
          <w:sz w:val="22"/>
          <w:szCs w:val="22"/>
        </w:rPr>
        <w:t xml:space="preserve"> that may cover your CAA’s records and</w:t>
      </w:r>
      <w:r w:rsidRPr="002D1280">
        <w:rPr>
          <w:rFonts w:asciiTheme="minorHAnsi" w:hAnsiTheme="minorHAnsi"/>
          <w:color w:val="000000"/>
          <w:sz w:val="22"/>
          <w:szCs w:val="22"/>
        </w:rPr>
        <w:t xml:space="preserve"> which m</w:t>
      </w:r>
      <w:r>
        <w:rPr>
          <w:rFonts w:asciiTheme="minorHAnsi" w:hAnsiTheme="minorHAnsi"/>
          <w:color w:val="000000"/>
          <w:sz w:val="22"/>
          <w:szCs w:val="22"/>
        </w:rPr>
        <w:t>ay</w:t>
      </w:r>
      <w:r w:rsidRPr="002D1280">
        <w:rPr>
          <w:rFonts w:asciiTheme="minorHAnsi" w:hAnsiTheme="minorHAnsi"/>
          <w:color w:val="000000"/>
          <w:sz w:val="22"/>
          <w:szCs w:val="22"/>
        </w:rPr>
        <w:t xml:space="preserve"> contain more stringent requirements around the type and the period of time records must be retained. </w:t>
      </w:r>
      <w:r>
        <w:rPr>
          <w:rFonts w:asciiTheme="minorHAnsi" w:hAnsiTheme="minorHAnsi"/>
          <w:color w:val="000000"/>
          <w:sz w:val="22"/>
          <w:szCs w:val="22"/>
        </w:rPr>
        <w:t>When multiple retention requirements apply to the same record, using the more stringent requirement will result in a policy that is easier to comply with and enforce. This sample policy also</w:t>
      </w:r>
      <w:r w:rsidRPr="002D1280">
        <w:rPr>
          <w:rFonts w:asciiTheme="minorHAnsi" w:hAnsiTheme="minorHAnsi"/>
          <w:color w:val="000000"/>
          <w:sz w:val="22"/>
          <w:szCs w:val="22"/>
        </w:rPr>
        <w:t xml:space="preserve"> does not </w:t>
      </w:r>
      <w:r>
        <w:rPr>
          <w:rFonts w:asciiTheme="minorHAnsi" w:hAnsiTheme="minorHAnsi"/>
          <w:color w:val="000000"/>
          <w:sz w:val="22"/>
          <w:szCs w:val="22"/>
        </w:rPr>
        <w:t>dictate any</w:t>
      </w:r>
      <w:r w:rsidRPr="002D1280">
        <w:rPr>
          <w:rFonts w:asciiTheme="minorHAnsi" w:hAnsiTheme="minorHAnsi"/>
          <w:color w:val="000000"/>
          <w:sz w:val="22"/>
          <w:szCs w:val="22"/>
        </w:rPr>
        <w:t xml:space="preserve"> particular method of document storage (paper, server, cloud, etc.). </w:t>
      </w:r>
      <w:r w:rsidR="006C758F">
        <w:rPr>
          <w:rFonts w:asciiTheme="minorHAnsi" w:hAnsiTheme="minorHAnsi"/>
          <w:color w:val="000000"/>
          <w:sz w:val="22"/>
          <w:szCs w:val="22"/>
        </w:rPr>
        <w:t>Your CAA will need to work with an</w:t>
      </w:r>
      <w:r w:rsidR="008E09F5" w:rsidRPr="008E09F5">
        <w:rPr>
          <w:rFonts w:asciiTheme="minorHAnsi" w:hAnsiTheme="minorHAnsi"/>
          <w:color w:val="000000"/>
          <w:sz w:val="22"/>
          <w:szCs w:val="22"/>
        </w:rPr>
        <w:t xml:space="preserve"> attorney in </w:t>
      </w:r>
      <w:r w:rsidR="006C758F">
        <w:rPr>
          <w:rFonts w:asciiTheme="minorHAnsi" w:hAnsiTheme="minorHAnsi"/>
          <w:color w:val="000000"/>
          <w:sz w:val="22"/>
          <w:szCs w:val="22"/>
        </w:rPr>
        <w:t>its</w:t>
      </w:r>
      <w:r w:rsidR="006C758F" w:rsidRPr="008E09F5">
        <w:rPr>
          <w:rFonts w:asciiTheme="minorHAnsi" w:hAnsiTheme="minorHAnsi"/>
          <w:color w:val="000000"/>
          <w:sz w:val="22"/>
          <w:szCs w:val="22"/>
        </w:rPr>
        <w:t xml:space="preserve"> </w:t>
      </w:r>
      <w:r w:rsidR="008E09F5" w:rsidRPr="008E09F5">
        <w:rPr>
          <w:rFonts w:asciiTheme="minorHAnsi" w:hAnsiTheme="minorHAnsi"/>
          <w:color w:val="000000"/>
          <w:sz w:val="22"/>
          <w:szCs w:val="22"/>
        </w:rPr>
        <w:t xml:space="preserve">state to understand </w:t>
      </w:r>
      <w:r>
        <w:rPr>
          <w:rFonts w:asciiTheme="minorHAnsi" w:hAnsiTheme="minorHAnsi"/>
          <w:color w:val="000000"/>
          <w:sz w:val="22"/>
          <w:szCs w:val="22"/>
        </w:rPr>
        <w:t>the applicable</w:t>
      </w:r>
      <w:r w:rsidRPr="008E09F5">
        <w:rPr>
          <w:rFonts w:asciiTheme="minorHAnsi" w:hAnsiTheme="minorHAnsi"/>
          <w:color w:val="000000"/>
          <w:sz w:val="22"/>
          <w:szCs w:val="22"/>
        </w:rPr>
        <w:t xml:space="preserve"> </w:t>
      </w:r>
      <w:r w:rsidR="008E09F5" w:rsidRPr="008E09F5">
        <w:rPr>
          <w:rFonts w:asciiTheme="minorHAnsi" w:hAnsiTheme="minorHAnsi"/>
          <w:color w:val="000000"/>
          <w:sz w:val="22"/>
          <w:szCs w:val="22"/>
        </w:rPr>
        <w:t>legal requirements and statutes of limitations, and adapt the sample policy accordingly.</w:t>
      </w:r>
    </w:p>
    <w:p w14:paraId="5E9442C7" w14:textId="77777777" w:rsidR="008E09F5" w:rsidRDefault="008E09F5" w:rsidP="00A97813">
      <w:pPr>
        <w:rPr>
          <w:rFonts w:asciiTheme="minorHAnsi" w:hAnsiTheme="minorHAnsi"/>
          <w:color w:val="000000"/>
          <w:sz w:val="22"/>
          <w:szCs w:val="22"/>
        </w:rPr>
      </w:pPr>
    </w:p>
    <w:p w14:paraId="78D2B1AB" w14:textId="5C53DB98" w:rsidR="00A97813" w:rsidRPr="002D1280" w:rsidRDefault="006C758F" w:rsidP="00A97813">
      <w:pPr>
        <w:rPr>
          <w:rFonts w:asciiTheme="minorHAnsi" w:hAnsiTheme="minorHAnsi"/>
          <w:color w:val="000000"/>
          <w:sz w:val="22"/>
          <w:szCs w:val="22"/>
        </w:rPr>
      </w:pPr>
      <w:r>
        <w:rPr>
          <w:rFonts w:asciiTheme="minorHAnsi" w:hAnsiTheme="minorHAnsi"/>
          <w:color w:val="000000"/>
          <w:sz w:val="22"/>
          <w:szCs w:val="22"/>
        </w:rPr>
        <w:t xml:space="preserve">One approach we take in our policy is the addition of one </w:t>
      </w:r>
      <w:r w:rsidR="004246FA">
        <w:rPr>
          <w:rFonts w:asciiTheme="minorHAnsi" w:hAnsiTheme="minorHAnsi"/>
          <w:color w:val="000000"/>
          <w:sz w:val="22"/>
          <w:szCs w:val="22"/>
        </w:rPr>
        <w:t>year to each retention period derived from a legal requirement</w:t>
      </w:r>
      <w:r>
        <w:rPr>
          <w:rFonts w:asciiTheme="minorHAnsi" w:hAnsiTheme="minorHAnsi"/>
          <w:color w:val="000000"/>
          <w:sz w:val="22"/>
          <w:szCs w:val="22"/>
        </w:rPr>
        <w:t xml:space="preserve">. This additional year </w:t>
      </w:r>
      <w:r w:rsidR="004246FA">
        <w:rPr>
          <w:rFonts w:asciiTheme="minorHAnsi" w:hAnsiTheme="minorHAnsi"/>
          <w:color w:val="000000"/>
          <w:sz w:val="22"/>
          <w:szCs w:val="22"/>
        </w:rPr>
        <w:t>serve</w:t>
      </w:r>
      <w:r>
        <w:rPr>
          <w:rFonts w:asciiTheme="minorHAnsi" w:hAnsiTheme="minorHAnsi"/>
          <w:color w:val="000000"/>
          <w:sz w:val="22"/>
          <w:szCs w:val="22"/>
        </w:rPr>
        <w:t>s</w:t>
      </w:r>
      <w:r w:rsidR="004246FA">
        <w:rPr>
          <w:rFonts w:asciiTheme="minorHAnsi" w:hAnsiTheme="minorHAnsi"/>
          <w:color w:val="000000"/>
          <w:sz w:val="22"/>
          <w:szCs w:val="22"/>
        </w:rPr>
        <w:t xml:space="preserve"> as a buffer for </w:t>
      </w:r>
      <w:r w:rsidR="008E09F5">
        <w:rPr>
          <w:rFonts w:asciiTheme="minorHAnsi" w:hAnsiTheme="minorHAnsi"/>
          <w:color w:val="000000"/>
          <w:sz w:val="22"/>
          <w:szCs w:val="22"/>
        </w:rPr>
        <w:t xml:space="preserve">unintended </w:t>
      </w:r>
      <w:r w:rsidR="004246FA">
        <w:rPr>
          <w:rFonts w:asciiTheme="minorHAnsi" w:hAnsiTheme="minorHAnsi"/>
          <w:color w:val="000000"/>
          <w:sz w:val="22"/>
          <w:szCs w:val="22"/>
        </w:rPr>
        <w:t>inaccuracies that may arise</w:t>
      </w:r>
      <w:r w:rsidR="00380EE1">
        <w:rPr>
          <w:rFonts w:asciiTheme="minorHAnsi" w:hAnsiTheme="minorHAnsi"/>
          <w:color w:val="000000"/>
          <w:sz w:val="22"/>
          <w:szCs w:val="22"/>
        </w:rPr>
        <w:t>.</w:t>
      </w:r>
      <w:r w:rsidR="004246FA">
        <w:rPr>
          <w:rFonts w:asciiTheme="minorHAnsi" w:hAnsiTheme="minorHAnsi"/>
          <w:color w:val="000000"/>
          <w:sz w:val="22"/>
          <w:szCs w:val="22"/>
        </w:rPr>
        <w:t xml:space="preserve"> If a </w:t>
      </w:r>
      <w:r w:rsidR="00FE5ED4">
        <w:rPr>
          <w:rFonts w:asciiTheme="minorHAnsi" w:hAnsiTheme="minorHAnsi"/>
          <w:color w:val="000000"/>
          <w:sz w:val="22"/>
          <w:szCs w:val="22"/>
        </w:rPr>
        <w:t>CAA determines th</w:t>
      </w:r>
      <w:r w:rsidR="004246FA">
        <w:rPr>
          <w:rFonts w:asciiTheme="minorHAnsi" w:hAnsiTheme="minorHAnsi"/>
          <w:color w:val="000000"/>
          <w:sz w:val="22"/>
          <w:szCs w:val="22"/>
        </w:rPr>
        <w:t>at based on its operations an</w:t>
      </w:r>
      <w:r w:rsidR="00FE5ED4">
        <w:rPr>
          <w:rFonts w:asciiTheme="minorHAnsi" w:hAnsiTheme="minorHAnsi"/>
          <w:color w:val="000000"/>
          <w:sz w:val="22"/>
          <w:szCs w:val="22"/>
        </w:rPr>
        <w:t xml:space="preserve"> additional year is </w:t>
      </w:r>
      <w:r w:rsidR="00F36037">
        <w:rPr>
          <w:rFonts w:asciiTheme="minorHAnsi" w:hAnsiTheme="minorHAnsi"/>
          <w:color w:val="000000"/>
          <w:sz w:val="22"/>
          <w:szCs w:val="22"/>
        </w:rPr>
        <w:t xml:space="preserve">not </w:t>
      </w:r>
      <w:r w:rsidR="00FE5ED4">
        <w:rPr>
          <w:rFonts w:asciiTheme="minorHAnsi" w:hAnsiTheme="minorHAnsi"/>
          <w:color w:val="000000"/>
          <w:sz w:val="22"/>
          <w:szCs w:val="22"/>
        </w:rPr>
        <w:t>necessary</w:t>
      </w:r>
      <w:r w:rsidR="004246FA">
        <w:rPr>
          <w:rFonts w:asciiTheme="minorHAnsi" w:hAnsiTheme="minorHAnsi"/>
          <w:color w:val="000000"/>
          <w:sz w:val="22"/>
          <w:szCs w:val="22"/>
        </w:rPr>
        <w:t>, it may revise the sample</w:t>
      </w:r>
      <w:r w:rsidR="00FE5ED4">
        <w:rPr>
          <w:rFonts w:asciiTheme="minorHAnsi" w:hAnsiTheme="minorHAnsi"/>
          <w:color w:val="000000"/>
          <w:sz w:val="22"/>
          <w:szCs w:val="22"/>
        </w:rPr>
        <w:t xml:space="preserve"> </w:t>
      </w:r>
      <w:r w:rsidR="00F34330">
        <w:rPr>
          <w:rFonts w:asciiTheme="minorHAnsi" w:hAnsiTheme="minorHAnsi"/>
          <w:color w:val="000000"/>
          <w:sz w:val="22"/>
          <w:szCs w:val="22"/>
        </w:rPr>
        <w:t>to reflect the exact retention periods</w:t>
      </w:r>
      <w:r w:rsidR="004246FA">
        <w:rPr>
          <w:rFonts w:asciiTheme="minorHAnsi" w:hAnsiTheme="minorHAnsi"/>
          <w:color w:val="000000"/>
          <w:sz w:val="22"/>
          <w:szCs w:val="22"/>
        </w:rPr>
        <w:t xml:space="preserve"> in a requirement</w:t>
      </w:r>
      <w:r w:rsidR="00FE5ED4">
        <w:rPr>
          <w:rFonts w:asciiTheme="minorHAnsi" w:hAnsiTheme="minorHAnsi"/>
          <w:color w:val="000000"/>
          <w:sz w:val="22"/>
          <w:szCs w:val="22"/>
        </w:rPr>
        <w:t xml:space="preserve">. </w:t>
      </w:r>
    </w:p>
    <w:p w14:paraId="45F6E41B" w14:textId="77777777" w:rsidR="00A97813" w:rsidRPr="002D1280" w:rsidRDefault="00A97813" w:rsidP="00A97813">
      <w:pPr>
        <w:rPr>
          <w:rFonts w:asciiTheme="minorHAnsi" w:hAnsiTheme="minorHAnsi"/>
          <w:color w:val="000000"/>
          <w:sz w:val="22"/>
          <w:szCs w:val="22"/>
        </w:rPr>
      </w:pPr>
    </w:p>
    <w:p w14:paraId="2B99CABC" w14:textId="01DF83C0" w:rsidR="00E56932" w:rsidRPr="002D1280" w:rsidRDefault="002D1280" w:rsidP="00A97813">
      <w:pPr>
        <w:rPr>
          <w:rFonts w:asciiTheme="minorHAnsi" w:hAnsiTheme="minorHAnsi"/>
          <w:color w:val="000000"/>
          <w:sz w:val="22"/>
          <w:szCs w:val="22"/>
        </w:rPr>
      </w:pPr>
      <w:r w:rsidRPr="002D1280">
        <w:rPr>
          <w:rFonts w:asciiTheme="minorHAnsi" w:hAnsiTheme="minorHAnsi"/>
          <w:color w:val="000000"/>
          <w:sz w:val="22"/>
          <w:szCs w:val="22"/>
        </w:rPr>
        <w:t xml:space="preserve">CAAs should use this sample policy as a template to develop and/or amend written policies and procedures for retaining records and destroying documents at their organizations. </w:t>
      </w:r>
      <w:r w:rsidR="00E56932" w:rsidRPr="00E56932">
        <w:rPr>
          <w:rFonts w:asciiTheme="minorHAnsi" w:hAnsiTheme="minorHAnsi"/>
          <w:color w:val="000000"/>
          <w:sz w:val="22"/>
          <w:szCs w:val="22"/>
        </w:rPr>
        <w:t xml:space="preserve">This sample contains bracketed text as well as </w:t>
      </w:r>
      <w:r w:rsidR="0023527D">
        <w:rPr>
          <w:rFonts w:asciiTheme="minorHAnsi" w:hAnsiTheme="minorHAnsi"/>
          <w:color w:val="000000"/>
          <w:sz w:val="22"/>
          <w:szCs w:val="22"/>
        </w:rPr>
        <w:t>foot</w:t>
      </w:r>
      <w:r w:rsidR="00E56932" w:rsidRPr="00E56932">
        <w:rPr>
          <w:rFonts w:asciiTheme="minorHAnsi" w:hAnsiTheme="minorHAnsi"/>
          <w:color w:val="000000"/>
          <w:sz w:val="22"/>
          <w:szCs w:val="22"/>
        </w:rPr>
        <w:t xml:space="preserve">note annotations that correspond to specific provisions. These are intended to help CAAs better understand some key options available when adapting </w:t>
      </w:r>
      <w:r>
        <w:rPr>
          <w:rFonts w:asciiTheme="minorHAnsi" w:hAnsiTheme="minorHAnsi"/>
          <w:color w:val="000000"/>
          <w:sz w:val="22"/>
          <w:szCs w:val="22"/>
        </w:rPr>
        <w:t>the sample policy</w:t>
      </w:r>
      <w:r w:rsidRPr="00E56932">
        <w:rPr>
          <w:rFonts w:asciiTheme="minorHAnsi" w:hAnsiTheme="minorHAnsi"/>
          <w:color w:val="000000"/>
          <w:sz w:val="22"/>
          <w:szCs w:val="22"/>
        </w:rPr>
        <w:t xml:space="preserve"> </w:t>
      </w:r>
      <w:r w:rsidR="00E56932" w:rsidRPr="00E56932">
        <w:rPr>
          <w:rFonts w:asciiTheme="minorHAnsi" w:hAnsiTheme="minorHAnsi"/>
          <w:color w:val="000000"/>
          <w:sz w:val="22"/>
          <w:szCs w:val="22"/>
        </w:rPr>
        <w:t xml:space="preserve">to meet the different needs of individual CAAs. </w:t>
      </w:r>
      <w:r w:rsidR="00E56932" w:rsidRPr="002D1280">
        <w:rPr>
          <w:rFonts w:asciiTheme="minorHAnsi" w:hAnsiTheme="minorHAnsi"/>
          <w:i/>
          <w:color w:val="000000"/>
          <w:sz w:val="22"/>
          <w:szCs w:val="22"/>
        </w:rPr>
        <w:t xml:space="preserve">Any bracketed text and </w:t>
      </w:r>
      <w:r w:rsidR="008E09F5">
        <w:rPr>
          <w:rFonts w:asciiTheme="minorHAnsi" w:hAnsiTheme="minorHAnsi"/>
          <w:i/>
          <w:color w:val="000000"/>
          <w:sz w:val="22"/>
          <w:szCs w:val="22"/>
        </w:rPr>
        <w:t>foot</w:t>
      </w:r>
      <w:r w:rsidR="008E09F5" w:rsidRPr="002D1280">
        <w:rPr>
          <w:rFonts w:asciiTheme="minorHAnsi" w:hAnsiTheme="minorHAnsi"/>
          <w:i/>
          <w:color w:val="000000"/>
          <w:sz w:val="22"/>
          <w:szCs w:val="22"/>
        </w:rPr>
        <w:t xml:space="preserve">notes </w:t>
      </w:r>
      <w:r w:rsidR="00E56932" w:rsidRPr="002D1280">
        <w:rPr>
          <w:rFonts w:asciiTheme="minorHAnsi" w:hAnsiTheme="minorHAnsi"/>
          <w:i/>
          <w:color w:val="000000"/>
          <w:sz w:val="22"/>
          <w:szCs w:val="22"/>
        </w:rPr>
        <w:t>should be reviewed and deleted when finalizing the record retention policy</w:t>
      </w:r>
      <w:r w:rsidR="00E56932" w:rsidRPr="00E56932">
        <w:rPr>
          <w:rFonts w:asciiTheme="minorHAnsi" w:hAnsiTheme="minorHAnsi"/>
          <w:color w:val="000000"/>
          <w:sz w:val="22"/>
          <w:szCs w:val="22"/>
        </w:rPr>
        <w:t>.</w:t>
      </w:r>
    </w:p>
    <w:p w14:paraId="4603497D" w14:textId="77777777" w:rsidR="00C33356" w:rsidRPr="002D1280" w:rsidRDefault="00C33356" w:rsidP="00A97813">
      <w:pPr>
        <w:rPr>
          <w:rFonts w:asciiTheme="minorHAnsi" w:hAnsiTheme="minorHAnsi"/>
          <w:color w:val="000000"/>
          <w:sz w:val="22"/>
          <w:szCs w:val="22"/>
        </w:rPr>
      </w:pPr>
    </w:p>
    <w:p w14:paraId="07272D49" w14:textId="77777777" w:rsidR="00A97813" w:rsidRPr="002D1280" w:rsidRDefault="002D1280" w:rsidP="00A97813">
      <w:pPr>
        <w:rPr>
          <w:rFonts w:asciiTheme="minorHAnsi" w:hAnsiTheme="minorHAnsi"/>
          <w:color w:val="000000"/>
          <w:sz w:val="22"/>
          <w:szCs w:val="22"/>
        </w:rPr>
      </w:pPr>
      <w:r>
        <w:rPr>
          <w:rFonts w:asciiTheme="minorHAnsi" w:hAnsiTheme="minorHAnsi"/>
          <w:color w:val="000000"/>
          <w:sz w:val="22"/>
          <w:szCs w:val="22"/>
        </w:rPr>
        <w:t xml:space="preserve">As with any policy, </w:t>
      </w:r>
      <w:r w:rsidR="00957777" w:rsidRPr="002D1280">
        <w:rPr>
          <w:rFonts w:asciiTheme="minorHAnsi" w:hAnsiTheme="minorHAnsi"/>
          <w:color w:val="000000"/>
          <w:sz w:val="22"/>
          <w:szCs w:val="22"/>
        </w:rPr>
        <w:t>CAAs should consult with an attorney in their state</w:t>
      </w:r>
      <w:r w:rsidR="00F14E2D" w:rsidRPr="002D1280">
        <w:rPr>
          <w:rFonts w:asciiTheme="minorHAnsi" w:hAnsiTheme="minorHAnsi"/>
          <w:color w:val="000000"/>
          <w:sz w:val="22"/>
          <w:szCs w:val="22"/>
        </w:rPr>
        <w:t xml:space="preserve">s </w:t>
      </w:r>
      <w:r>
        <w:rPr>
          <w:rFonts w:asciiTheme="minorHAnsi" w:hAnsiTheme="minorHAnsi"/>
          <w:color w:val="000000"/>
          <w:sz w:val="22"/>
          <w:szCs w:val="22"/>
        </w:rPr>
        <w:t>as to</w:t>
      </w:r>
      <w:r w:rsidR="00F14E2D" w:rsidRPr="002D1280">
        <w:rPr>
          <w:rFonts w:asciiTheme="minorHAnsi" w:hAnsiTheme="minorHAnsi"/>
          <w:color w:val="000000"/>
          <w:sz w:val="22"/>
          <w:szCs w:val="22"/>
        </w:rPr>
        <w:t xml:space="preserve"> state-specific requirements</w:t>
      </w:r>
      <w:r>
        <w:rPr>
          <w:rFonts w:asciiTheme="minorHAnsi" w:hAnsiTheme="minorHAnsi"/>
          <w:color w:val="000000"/>
          <w:sz w:val="22"/>
          <w:szCs w:val="22"/>
        </w:rPr>
        <w:t xml:space="preserve"> that may apply</w:t>
      </w:r>
      <w:r w:rsidR="00F14E2D" w:rsidRPr="002D1280">
        <w:rPr>
          <w:rFonts w:asciiTheme="minorHAnsi" w:hAnsiTheme="minorHAnsi"/>
          <w:color w:val="000000"/>
          <w:sz w:val="22"/>
          <w:szCs w:val="22"/>
        </w:rPr>
        <w:t>.</w:t>
      </w:r>
    </w:p>
    <w:p w14:paraId="0500FA14" w14:textId="77777777" w:rsidR="00F94004" w:rsidRPr="00F94004" w:rsidRDefault="00F94004" w:rsidP="00F94004">
      <w:pPr>
        <w:rPr>
          <w:rFonts w:asciiTheme="minorHAnsi" w:hAnsiTheme="minorHAnsi"/>
          <w:color w:val="000000"/>
          <w:sz w:val="22"/>
          <w:szCs w:val="22"/>
        </w:rPr>
      </w:pPr>
    </w:p>
    <w:p w14:paraId="1186795B" w14:textId="77777777" w:rsidR="00F94004" w:rsidRDefault="00F94004" w:rsidP="00F94004">
      <w:pPr>
        <w:rPr>
          <w:rFonts w:asciiTheme="minorHAnsi" w:hAnsiTheme="minorHAnsi"/>
          <w:color w:val="000000"/>
          <w:sz w:val="22"/>
          <w:szCs w:val="22"/>
        </w:rPr>
      </w:pPr>
      <w:r w:rsidRPr="00F94004">
        <w:rPr>
          <w:rFonts w:asciiTheme="minorHAnsi" w:hAnsiTheme="minorHAnsi"/>
          <w:color w:val="000000"/>
          <w:sz w:val="22"/>
          <w:szCs w:val="22"/>
        </w:rPr>
        <w:t>This sample policy is informed by the following federal requirements:</w:t>
      </w:r>
    </w:p>
    <w:p w14:paraId="6EEA525A" w14:textId="77777777" w:rsidR="00F94004" w:rsidRPr="002D1280" w:rsidRDefault="00F94004" w:rsidP="00F94004">
      <w:pPr>
        <w:rPr>
          <w:rFonts w:asciiTheme="minorHAnsi" w:hAnsiTheme="minorHAnsi"/>
          <w:color w:val="000000"/>
          <w:sz w:val="22"/>
          <w:szCs w:val="22"/>
        </w:rPr>
      </w:pPr>
    </w:p>
    <w:p w14:paraId="2E662CAD" w14:textId="77777777" w:rsidR="00F94004" w:rsidRDefault="00F94004" w:rsidP="004F7597">
      <w:pPr>
        <w:pStyle w:val="ListParagraph"/>
        <w:numPr>
          <w:ilvl w:val="0"/>
          <w:numId w:val="9"/>
        </w:numPr>
        <w:rPr>
          <w:rFonts w:asciiTheme="minorHAnsi" w:hAnsiTheme="minorHAnsi"/>
          <w:color w:val="000000"/>
          <w:sz w:val="22"/>
          <w:szCs w:val="22"/>
        </w:rPr>
      </w:pPr>
      <w:r w:rsidRPr="004F7597">
        <w:rPr>
          <w:rFonts w:asciiTheme="minorHAnsi" w:hAnsiTheme="minorHAnsi"/>
          <w:b/>
          <w:color w:val="000000"/>
          <w:sz w:val="22"/>
          <w:szCs w:val="22"/>
        </w:rPr>
        <w:t>CSBG Organizational Standards:</w:t>
      </w:r>
      <w:r w:rsidRPr="004F7597">
        <w:rPr>
          <w:rFonts w:asciiTheme="minorHAnsi" w:hAnsiTheme="minorHAnsi"/>
          <w:color w:val="000000"/>
          <w:sz w:val="22"/>
          <w:szCs w:val="22"/>
        </w:rPr>
        <w:t xml:space="preserve"> CSBG Organizational Standard 8.13 </w:t>
      </w:r>
      <w:r w:rsidRPr="004B003A">
        <w:rPr>
          <w:rFonts w:asciiTheme="minorHAnsi" w:hAnsiTheme="minorHAnsi"/>
          <w:color w:val="000000"/>
          <w:sz w:val="22"/>
          <w:szCs w:val="22"/>
        </w:rPr>
        <w:t>requires</w:t>
      </w:r>
      <w:r w:rsidRPr="004F7597">
        <w:rPr>
          <w:rFonts w:asciiTheme="minorHAnsi" w:hAnsiTheme="minorHAnsi"/>
          <w:color w:val="000000"/>
          <w:sz w:val="22"/>
          <w:szCs w:val="22"/>
        </w:rPr>
        <w:t xml:space="preserve"> nonprofit CAAs to have a written policy in place for record retention and destruction. Public CAAs are to follow local governmental policies for document retention and destruction. </w:t>
      </w:r>
    </w:p>
    <w:p w14:paraId="20CCA491" w14:textId="77777777" w:rsidR="00F94004" w:rsidRPr="004F7597" w:rsidRDefault="00F94004" w:rsidP="004F7597">
      <w:pPr>
        <w:pStyle w:val="ListParagraph"/>
        <w:rPr>
          <w:rFonts w:asciiTheme="minorHAnsi" w:hAnsiTheme="minorHAnsi"/>
          <w:color w:val="000000"/>
          <w:sz w:val="22"/>
          <w:szCs w:val="22"/>
        </w:rPr>
      </w:pPr>
    </w:p>
    <w:p w14:paraId="65D21F99" w14:textId="6327C057" w:rsidR="004F7597" w:rsidRPr="004F7597" w:rsidRDefault="00F94004" w:rsidP="004F7597">
      <w:pPr>
        <w:pStyle w:val="ListParagraph"/>
        <w:numPr>
          <w:ilvl w:val="0"/>
          <w:numId w:val="9"/>
        </w:numPr>
        <w:rPr>
          <w:rFonts w:asciiTheme="minorHAnsi" w:hAnsiTheme="minorHAnsi"/>
          <w:color w:val="000000"/>
          <w:sz w:val="22"/>
          <w:szCs w:val="22"/>
        </w:rPr>
      </w:pPr>
      <w:r w:rsidRPr="004F7597">
        <w:rPr>
          <w:rFonts w:asciiTheme="minorHAnsi" w:hAnsiTheme="minorHAnsi"/>
          <w:b/>
          <w:color w:val="000000"/>
          <w:sz w:val="22"/>
          <w:szCs w:val="22"/>
        </w:rPr>
        <w:t xml:space="preserve">Uniform Guidance: </w:t>
      </w:r>
      <w:r w:rsidR="004F7597" w:rsidRPr="004F7597">
        <w:rPr>
          <w:rFonts w:asciiTheme="minorHAnsi" w:hAnsiTheme="minorHAnsi"/>
          <w:color w:val="000000"/>
          <w:sz w:val="22"/>
          <w:szCs w:val="22"/>
        </w:rPr>
        <w:t xml:space="preserve">The Uniform Administrative Requirements, Cost Principles, and Audit Requirements for Federal Awards (the Uniform Guidance) published by the Office of Management and Budget sets forth </w:t>
      </w:r>
      <w:r w:rsidR="004F7597">
        <w:rPr>
          <w:rFonts w:asciiTheme="minorHAnsi" w:hAnsiTheme="minorHAnsi"/>
          <w:color w:val="000000"/>
          <w:sz w:val="22"/>
          <w:szCs w:val="22"/>
        </w:rPr>
        <w:t>requirements</w:t>
      </w:r>
      <w:r w:rsidR="004267AD">
        <w:rPr>
          <w:rFonts w:asciiTheme="minorHAnsi" w:hAnsiTheme="minorHAnsi"/>
          <w:color w:val="000000"/>
          <w:sz w:val="22"/>
          <w:szCs w:val="22"/>
        </w:rPr>
        <w:t xml:space="preserve"> addressing record retention and protection of personally identifiable information </w:t>
      </w:r>
      <w:r w:rsidR="00B468DC">
        <w:rPr>
          <w:rFonts w:asciiTheme="minorHAnsi" w:hAnsiTheme="minorHAnsi"/>
          <w:color w:val="000000"/>
          <w:sz w:val="22"/>
          <w:szCs w:val="22"/>
        </w:rPr>
        <w:t xml:space="preserve">which may be </w:t>
      </w:r>
      <w:r w:rsidR="004267AD">
        <w:rPr>
          <w:rFonts w:asciiTheme="minorHAnsi" w:hAnsiTheme="minorHAnsi"/>
          <w:color w:val="000000"/>
          <w:sz w:val="22"/>
          <w:szCs w:val="22"/>
        </w:rPr>
        <w:t xml:space="preserve">contained in records </w:t>
      </w:r>
      <w:r w:rsidR="00B468DC">
        <w:rPr>
          <w:rFonts w:asciiTheme="minorHAnsi" w:hAnsiTheme="minorHAnsi"/>
          <w:color w:val="000000"/>
          <w:sz w:val="22"/>
          <w:szCs w:val="22"/>
        </w:rPr>
        <w:t>a CAA is required to</w:t>
      </w:r>
      <w:r w:rsidR="004267AD">
        <w:rPr>
          <w:rFonts w:asciiTheme="minorHAnsi" w:hAnsiTheme="minorHAnsi"/>
          <w:color w:val="000000"/>
          <w:sz w:val="22"/>
          <w:szCs w:val="22"/>
        </w:rPr>
        <w:t xml:space="preserve"> retain</w:t>
      </w:r>
      <w:r w:rsidR="004F7597" w:rsidRPr="004F7597">
        <w:rPr>
          <w:rFonts w:asciiTheme="minorHAnsi" w:hAnsiTheme="minorHAnsi"/>
          <w:color w:val="000000"/>
          <w:sz w:val="22"/>
          <w:szCs w:val="22"/>
        </w:rPr>
        <w:t>. The</w:t>
      </w:r>
      <w:r w:rsidR="00B468DC">
        <w:rPr>
          <w:rFonts w:asciiTheme="minorHAnsi" w:hAnsiTheme="minorHAnsi"/>
          <w:color w:val="000000"/>
          <w:sz w:val="22"/>
          <w:szCs w:val="22"/>
        </w:rPr>
        <w:t>se</w:t>
      </w:r>
      <w:r w:rsidR="004F7597" w:rsidRPr="004F7597">
        <w:rPr>
          <w:rFonts w:asciiTheme="minorHAnsi" w:hAnsiTheme="minorHAnsi"/>
          <w:color w:val="000000"/>
          <w:sz w:val="22"/>
          <w:szCs w:val="22"/>
        </w:rPr>
        <w:t xml:space="preserve"> </w:t>
      </w:r>
      <w:r w:rsidR="004F7597">
        <w:rPr>
          <w:rFonts w:asciiTheme="minorHAnsi" w:hAnsiTheme="minorHAnsi"/>
          <w:color w:val="000000"/>
          <w:sz w:val="22"/>
          <w:szCs w:val="22"/>
        </w:rPr>
        <w:t>requirements</w:t>
      </w:r>
      <w:r w:rsidR="004F7597" w:rsidRPr="004F7597">
        <w:rPr>
          <w:rFonts w:asciiTheme="minorHAnsi" w:hAnsiTheme="minorHAnsi"/>
          <w:color w:val="000000"/>
          <w:sz w:val="22"/>
          <w:szCs w:val="22"/>
        </w:rPr>
        <w:t xml:space="preserve"> </w:t>
      </w:r>
      <w:r w:rsidR="004267AD">
        <w:rPr>
          <w:rFonts w:asciiTheme="minorHAnsi" w:hAnsiTheme="minorHAnsi"/>
          <w:color w:val="000000"/>
          <w:sz w:val="22"/>
          <w:szCs w:val="22"/>
        </w:rPr>
        <w:t xml:space="preserve">apply to direct federal funding and </w:t>
      </w:r>
      <w:r w:rsidR="004F7597" w:rsidRPr="004F7597">
        <w:rPr>
          <w:rFonts w:asciiTheme="minorHAnsi" w:hAnsiTheme="minorHAnsi"/>
          <w:color w:val="000000"/>
          <w:sz w:val="22"/>
          <w:szCs w:val="22"/>
        </w:rPr>
        <w:t>are contained in Subpart D of the Uniform Guidance</w:t>
      </w:r>
      <w:r w:rsidR="004267AD">
        <w:rPr>
          <w:rFonts w:asciiTheme="minorHAnsi" w:hAnsiTheme="minorHAnsi"/>
          <w:color w:val="000000"/>
          <w:sz w:val="22"/>
          <w:szCs w:val="22"/>
        </w:rPr>
        <w:t>. While Subpart D does not</w:t>
      </w:r>
      <w:r w:rsidR="004F7597" w:rsidRPr="004F7597">
        <w:rPr>
          <w:rFonts w:asciiTheme="minorHAnsi" w:hAnsiTheme="minorHAnsi"/>
          <w:color w:val="000000"/>
          <w:sz w:val="22"/>
          <w:szCs w:val="22"/>
        </w:rPr>
        <w:t xml:space="preserve"> </w:t>
      </w:r>
      <w:r w:rsidR="00A15C41">
        <w:rPr>
          <w:rFonts w:asciiTheme="minorHAnsi" w:hAnsiTheme="minorHAnsi"/>
          <w:color w:val="000000"/>
          <w:sz w:val="22"/>
          <w:szCs w:val="22"/>
        </w:rPr>
        <w:t xml:space="preserve">automatically </w:t>
      </w:r>
      <w:r w:rsidR="004F7597" w:rsidRPr="004F7597">
        <w:rPr>
          <w:rFonts w:asciiTheme="minorHAnsi" w:hAnsiTheme="minorHAnsi"/>
          <w:color w:val="000000"/>
          <w:sz w:val="22"/>
          <w:szCs w:val="22"/>
        </w:rPr>
        <w:t>apply to block grants such as CSBG</w:t>
      </w:r>
      <w:r w:rsidR="004267AD">
        <w:rPr>
          <w:rFonts w:asciiTheme="minorHAnsi" w:hAnsiTheme="minorHAnsi"/>
          <w:color w:val="000000"/>
          <w:sz w:val="22"/>
          <w:szCs w:val="22"/>
        </w:rPr>
        <w:t>,</w:t>
      </w:r>
      <w:r w:rsidR="004F7597" w:rsidRPr="004F7597">
        <w:rPr>
          <w:rFonts w:asciiTheme="minorHAnsi" w:hAnsiTheme="minorHAnsi"/>
          <w:color w:val="000000"/>
          <w:sz w:val="22"/>
          <w:szCs w:val="22"/>
        </w:rPr>
        <w:t xml:space="preserve"> some states incorporate </w:t>
      </w:r>
      <w:r w:rsidR="004267AD">
        <w:rPr>
          <w:rFonts w:asciiTheme="minorHAnsi" w:hAnsiTheme="minorHAnsi"/>
          <w:color w:val="000000"/>
          <w:sz w:val="22"/>
          <w:szCs w:val="22"/>
        </w:rPr>
        <w:t>it</w:t>
      </w:r>
      <w:r w:rsidR="004F7597" w:rsidRPr="004F7597">
        <w:rPr>
          <w:rFonts w:asciiTheme="minorHAnsi" w:hAnsiTheme="minorHAnsi"/>
          <w:color w:val="000000"/>
          <w:sz w:val="22"/>
          <w:szCs w:val="22"/>
        </w:rPr>
        <w:t xml:space="preserve"> or all Subparts of the Uniform Guidance into their CSBG statute, regulations or grant agreements. Furthermore, since most CAAs receive funding from multiple federal sources, some of </w:t>
      </w:r>
      <w:r w:rsidR="004F7597" w:rsidRPr="004F7597">
        <w:rPr>
          <w:rFonts w:asciiTheme="minorHAnsi" w:hAnsiTheme="minorHAnsi"/>
          <w:color w:val="000000"/>
          <w:sz w:val="22"/>
          <w:szCs w:val="22"/>
        </w:rPr>
        <w:lastRenderedPageBreak/>
        <w:t xml:space="preserve">which require compliance with Subpart D, many CAAs elect to incorporate the Uniform Guidance’s </w:t>
      </w:r>
      <w:r w:rsidR="00F36037">
        <w:rPr>
          <w:rFonts w:asciiTheme="minorHAnsi" w:hAnsiTheme="minorHAnsi"/>
          <w:color w:val="000000"/>
          <w:sz w:val="22"/>
          <w:szCs w:val="22"/>
        </w:rPr>
        <w:t>requirements</w:t>
      </w:r>
      <w:r w:rsidR="004F7597" w:rsidRPr="004F7597">
        <w:rPr>
          <w:rFonts w:asciiTheme="minorHAnsi" w:hAnsiTheme="minorHAnsi"/>
          <w:color w:val="000000"/>
          <w:sz w:val="22"/>
          <w:szCs w:val="22"/>
        </w:rPr>
        <w:t xml:space="preserve"> across all of their funding sources.</w:t>
      </w:r>
    </w:p>
    <w:p w14:paraId="49131104" w14:textId="77777777" w:rsidR="004F7597" w:rsidRDefault="004F7597" w:rsidP="004F7597">
      <w:pPr>
        <w:pStyle w:val="ListParagraph"/>
        <w:rPr>
          <w:rFonts w:asciiTheme="minorHAnsi" w:hAnsiTheme="minorHAnsi"/>
          <w:color w:val="000000"/>
          <w:sz w:val="22"/>
          <w:szCs w:val="22"/>
        </w:rPr>
      </w:pPr>
    </w:p>
    <w:p w14:paraId="7B809786" w14:textId="749F6DFD" w:rsidR="002D1290" w:rsidRPr="002D1290" w:rsidRDefault="004F7597" w:rsidP="00F4055A">
      <w:pPr>
        <w:ind w:left="720"/>
        <w:rPr>
          <w:rFonts w:asciiTheme="minorHAnsi" w:hAnsiTheme="minorHAnsi"/>
          <w:color w:val="000000"/>
          <w:sz w:val="22"/>
          <w:szCs w:val="22"/>
        </w:rPr>
      </w:pPr>
      <w:r>
        <w:rPr>
          <w:rFonts w:asciiTheme="minorHAnsi" w:hAnsiTheme="minorHAnsi"/>
          <w:color w:val="000000"/>
          <w:sz w:val="22"/>
          <w:szCs w:val="22"/>
        </w:rPr>
        <w:t>T</w:t>
      </w:r>
      <w:r w:rsidR="00F94004" w:rsidRPr="004F7597">
        <w:rPr>
          <w:rFonts w:asciiTheme="minorHAnsi" w:hAnsiTheme="minorHAnsi"/>
          <w:color w:val="000000"/>
          <w:sz w:val="22"/>
          <w:szCs w:val="22"/>
        </w:rPr>
        <w:t>he Uniform Guidance</w:t>
      </w:r>
      <w:r>
        <w:rPr>
          <w:rFonts w:asciiTheme="minorHAnsi" w:hAnsiTheme="minorHAnsi"/>
          <w:color w:val="000000"/>
          <w:sz w:val="22"/>
          <w:szCs w:val="22"/>
        </w:rPr>
        <w:t xml:space="preserve"> requires grantees to retain f</w:t>
      </w:r>
      <w:r w:rsidR="00F94004" w:rsidRPr="004F7597">
        <w:rPr>
          <w:rFonts w:asciiTheme="minorHAnsi" w:hAnsiTheme="minorHAnsi"/>
          <w:color w:val="000000"/>
          <w:sz w:val="22"/>
          <w:szCs w:val="22"/>
        </w:rPr>
        <w:t>inancial records, supporting documents, statistical records, and al</w:t>
      </w:r>
      <w:r w:rsidR="00E73D1D">
        <w:rPr>
          <w:rFonts w:asciiTheme="minorHAnsi" w:hAnsiTheme="minorHAnsi"/>
          <w:color w:val="000000"/>
          <w:sz w:val="22"/>
          <w:szCs w:val="22"/>
        </w:rPr>
        <w:t>l other records pertinent to a f</w:t>
      </w:r>
      <w:r w:rsidR="00F94004" w:rsidRPr="004F7597">
        <w:rPr>
          <w:rFonts w:asciiTheme="minorHAnsi" w:hAnsiTheme="minorHAnsi"/>
          <w:color w:val="000000"/>
          <w:sz w:val="22"/>
          <w:szCs w:val="22"/>
        </w:rPr>
        <w:t xml:space="preserve">ederal award for a period of </w:t>
      </w:r>
      <w:r w:rsidR="00E73D1D">
        <w:rPr>
          <w:rFonts w:asciiTheme="minorHAnsi" w:hAnsiTheme="minorHAnsi"/>
          <w:color w:val="000000"/>
          <w:sz w:val="22"/>
          <w:szCs w:val="22"/>
        </w:rPr>
        <w:t>three</w:t>
      </w:r>
      <w:r w:rsidR="009779D0" w:rsidRPr="004F7597">
        <w:rPr>
          <w:rFonts w:asciiTheme="minorHAnsi" w:hAnsiTheme="minorHAnsi"/>
          <w:color w:val="000000"/>
          <w:sz w:val="22"/>
          <w:szCs w:val="22"/>
        </w:rPr>
        <w:t xml:space="preserve"> </w:t>
      </w:r>
      <w:r w:rsidR="00F94004" w:rsidRPr="004F7597">
        <w:rPr>
          <w:rFonts w:asciiTheme="minorHAnsi" w:hAnsiTheme="minorHAnsi"/>
          <w:color w:val="000000"/>
          <w:sz w:val="22"/>
          <w:szCs w:val="22"/>
        </w:rPr>
        <w:t xml:space="preserve">years from the date of submission of </w:t>
      </w:r>
      <w:r w:rsidR="00F36037">
        <w:rPr>
          <w:rFonts w:asciiTheme="minorHAnsi" w:hAnsiTheme="minorHAnsi"/>
          <w:color w:val="000000"/>
          <w:sz w:val="22"/>
          <w:szCs w:val="22"/>
        </w:rPr>
        <w:t xml:space="preserve">either (i) </w:t>
      </w:r>
      <w:r w:rsidR="00F94004" w:rsidRPr="004F7597">
        <w:rPr>
          <w:rFonts w:asciiTheme="minorHAnsi" w:hAnsiTheme="minorHAnsi"/>
          <w:color w:val="000000"/>
          <w:sz w:val="22"/>
          <w:szCs w:val="22"/>
        </w:rPr>
        <w:t>the final expenditure report</w:t>
      </w:r>
      <w:r w:rsidR="00F36037">
        <w:rPr>
          <w:rFonts w:asciiTheme="minorHAnsi" w:hAnsiTheme="minorHAnsi"/>
          <w:color w:val="000000"/>
          <w:sz w:val="22"/>
          <w:szCs w:val="22"/>
        </w:rPr>
        <w:t xml:space="preserve"> or (ii) the quarterly or annual financial report if the award is renewed quarterly or annually</w:t>
      </w:r>
      <w:r w:rsidR="00123D1D">
        <w:rPr>
          <w:rFonts w:asciiTheme="minorHAnsi" w:hAnsiTheme="minorHAnsi"/>
          <w:color w:val="000000"/>
          <w:sz w:val="22"/>
          <w:szCs w:val="22"/>
        </w:rPr>
        <w:t xml:space="preserve">, with a few exceptions. </w:t>
      </w:r>
      <w:hyperlink r:id="rId9" w:anchor="se2.1.200_1333" w:history="1">
        <w:r w:rsidR="002D1290" w:rsidRPr="00324E08">
          <w:rPr>
            <w:rStyle w:val="Hyperlink"/>
            <w:rFonts w:asciiTheme="minorHAnsi" w:hAnsiTheme="minorHAnsi"/>
            <w:sz w:val="22"/>
            <w:szCs w:val="22"/>
          </w:rPr>
          <w:t>2 C.F.R. § 200.333</w:t>
        </w:r>
      </w:hyperlink>
      <w:r w:rsidR="004B5683">
        <w:rPr>
          <w:rStyle w:val="Hyperlink"/>
          <w:rFonts w:asciiTheme="minorHAnsi" w:hAnsiTheme="minorHAnsi"/>
          <w:sz w:val="22"/>
          <w:szCs w:val="22"/>
        </w:rPr>
        <w:t xml:space="preserve">; </w:t>
      </w:r>
      <w:hyperlink r:id="rId10" w:anchor="se45.1.75_1361" w:history="1">
        <w:r w:rsidR="004B5683" w:rsidRPr="004B5683">
          <w:rPr>
            <w:rStyle w:val="Hyperlink"/>
            <w:rFonts w:asciiTheme="minorHAnsi" w:hAnsiTheme="minorHAnsi"/>
            <w:sz w:val="22"/>
            <w:szCs w:val="22"/>
          </w:rPr>
          <w:t>45 C.F.R. § 75.361</w:t>
        </w:r>
      </w:hyperlink>
      <w:r w:rsidR="002D1290" w:rsidRPr="004F7597">
        <w:rPr>
          <w:rFonts w:asciiTheme="minorHAnsi" w:hAnsiTheme="minorHAnsi"/>
          <w:color w:val="000000"/>
          <w:sz w:val="22"/>
          <w:szCs w:val="22"/>
        </w:rPr>
        <w:t>.</w:t>
      </w:r>
    </w:p>
    <w:p w14:paraId="0F41DE0D" w14:textId="77777777" w:rsidR="002D1290" w:rsidRDefault="002D1290" w:rsidP="002D1290">
      <w:pPr>
        <w:rPr>
          <w:rFonts w:asciiTheme="minorHAnsi" w:hAnsiTheme="minorHAnsi"/>
          <w:i/>
          <w:color w:val="000000"/>
          <w:sz w:val="22"/>
          <w:szCs w:val="22"/>
        </w:rPr>
      </w:pPr>
    </w:p>
    <w:p w14:paraId="6CF061A0" w14:textId="32D8B01F" w:rsidR="002D1290" w:rsidRPr="00271C7C" w:rsidRDefault="002D1290" w:rsidP="002D1290">
      <w:pPr>
        <w:ind w:left="720"/>
        <w:rPr>
          <w:rFonts w:asciiTheme="minorHAnsi" w:hAnsiTheme="minorHAnsi"/>
          <w:bCs/>
          <w:sz w:val="22"/>
          <w:szCs w:val="22"/>
        </w:rPr>
      </w:pPr>
      <w:r>
        <w:rPr>
          <w:rFonts w:asciiTheme="minorHAnsi" w:hAnsiTheme="minorHAnsi"/>
          <w:color w:val="000000"/>
          <w:sz w:val="22"/>
          <w:szCs w:val="22"/>
        </w:rPr>
        <w:t xml:space="preserve">The sample policy incorporates two of the </w:t>
      </w:r>
      <w:r w:rsidR="00EA434E">
        <w:rPr>
          <w:rFonts w:asciiTheme="minorHAnsi" w:hAnsiTheme="minorHAnsi"/>
          <w:color w:val="000000"/>
          <w:sz w:val="22"/>
          <w:szCs w:val="22"/>
        </w:rPr>
        <w:t xml:space="preserve">Uniform Guidance </w:t>
      </w:r>
      <w:r>
        <w:rPr>
          <w:rFonts w:asciiTheme="minorHAnsi" w:hAnsiTheme="minorHAnsi"/>
          <w:color w:val="000000"/>
          <w:sz w:val="22"/>
          <w:szCs w:val="22"/>
        </w:rPr>
        <w:t xml:space="preserve">exceptions to the general </w:t>
      </w:r>
      <w:r w:rsidR="00A15C41">
        <w:rPr>
          <w:rFonts w:asciiTheme="minorHAnsi" w:hAnsiTheme="minorHAnsi"/>
          <w:color w:val="000000"/>
          <w:sz w:val="22"/>
          <w:szCs w:val="22"/>
        </w:rPr>
        <w:t>three</w:t>
      </w:r>
      <w:r>
        <w:rPr>
          <w:rFonts w:asciiTheme="minorHAnsi" w:hAnsiTheme="minorHAnsi"/>
          <w:color w:val="000000"/>
          <w:sz w:val="22"/>
          <w:szCs w:val="22"/>
        </w:rPr>
        <w:t>-year rule</w:t>
      </w:r>
      <w:r w:rsidR="00EA434E">
        <w:rPr>
          <w:rFonts w:asciiTheme="minorHAnsi" w:hAnsiTheme="minorHAnsi"/>
          <w:color w:val="000000"/>
          <w:sz w:val="22"/>
          <w:szCs w:val="22"/>
        </w:rPr>
        <w:t xml:space="preserve">. These exceptions require a CAA to retain records for longer periods of time if: (1) the records are </w:t>
      </w:r>
      <w:r>
        <w:rPr>
          <w:rFonts w:asciiTheme="minorHAnsi" w:hAnsiTheme="minorHAnsi"/>
          <w:bCs/>
          <w:sz w:val="22"/>
          <w:szCs w:val="22"/>
        </w:rPr>
        <w:t xml:space="preserve">related to </w:t>
      </w:r>
      <w:r w:rsidRPr="002D1280">
        <w:rPr>
          <w:rFonts w:asciiTheme="minorHAnsi" w:hAnsiTheme="minorHAnsi"/>
          <w:bCs/>
          <w:sz w:val="22"/>
          <w:szCs w:val="22"/>
        </w:rPr>
        <w:t>pending litigation, claims, audits, or investigations involving the CAA</w:t>
      </w:r>
      <w:r w:rsidR="00EA434E">
        <w:rPr>
          <w:rFonts w:asciiTheme="minorHAnsi" w:hAnsiTheme="minorHAnsi"/>
          <w:bCs/>
          <w:sz w:val="22"/>
          <w:szCs w:val="22"/>
        </w:rPr>
        <w:t xml:space="preserve"> and/or (2) the</w:t>
      </w:r>
      <w:r w:rsidR="00271C7C">
        <w:rPr>
          <w:rFonts w:asciiTheme="minorHAnsi" w:hAnsiTheme="minorHAnsi"/>
          <w:bCs/>
          <w:sz w:val="22"/>
          <w:szCs w:val="22"/>
        </w:rPr>
        <w:t xml:space="preserve"> </w:t>
      </w:r>
      <w:r w:rsidR="00A15C41">
        <w:rPr>
          <w:rFonts w:asciiTheme="minorHAnsi" w:hAnsiTheme="minorHAnsi"/>
          <w:bCs/>
          <w:sz w:val="22"/>
          <w:szCs w:val="22"/>
        </w:rPr>
        <w:t>f</w:t>
      </w:r>
      <w:r w:rsidR="00271C7C">
        <w:rPr>
          <w:rFonts w:asciiTheme="minorHAnsi" w:hAnsiTheme="minorHAnsi"/>
          <w:bCs/>
          <w:sz w:val="22"/>
          <w:szCs w:val="22"/>
        </w:rPr>
        <w:t>ederal awarding agency, cognizant agency for audit, oversight agency for audit, cognizant agency for indirect costs, or pass-through entity notif</w:t>
      </w:r>
      <w:r w:rsidR="00EA434E">
        <w:rPr>
          <w:rFonts w:asciiTheme="minorHAnsi" w:hAnsiTheme="minorHAnsi"/>
          <w:bCs/>
          <w:sz w:val="22"/>
          <w:szCs w:val="22"/>
        </w:rPr>
        <w:t>ies</w:t>
      </w:r>
      <w:r w:rsidR="00271C7C">
        <w:rPr>
          <w:rFonts w:asciiTheme="minorHAnsi" w:hAnsiTheme="minorHAnsi"/>
          <w:bCs/>
          <w:sz w:val="22"/>
          <w:szCs w:val="22"/>
        </w:rPr>
        <w:t xml:space="preserve"> a </w:t>
      </w:r>
      <w:r w:rsidR="00EA434E">
        <w:rPr>
          <w:rFonts w:asciiTheme="minorHAnsi" w:hAnsiTheme="minorHAnsi"/>
          <w:bCs/>
          <w:sz w:val="22"/>
          <w:szCs w:val="22"/>
        </w:rPr>
        <w:t>CAA</w:t>
      </w:r>
      <w:r w:rsidR="00271C7C">
        <w:rPr>
          <w:rFonts w:asciiTheme="minorHAnsi" w:hAnsiTheme="minorHAnsi"/>
          <w:bCs/>
          <w:sz w:val="22"/>
          <w:szCs w:val="22"/>
        </w:rPr>
        <w:t xml:space="preserve"> in writing</w:t>
      </w:r>
      <w:r w:rsidR="00EA434E">
        <w:rPr>
          <w:rFonts w:asciiTheme="minorHAnsi" w:hAnsiTheme="minorHAnsi"/>
          <w:bCs/>
          <w:sz w:val="22"/>
          <w:szCs w:val="22"/>
        </w:rPr>
        <w:t xml:space="preserve"> of an extension.</w:t>
      </w:r>
    </w:p>
    <w:p w14:paraId="5CDE2D36" w14:textId="77777777" w:rsidR="002D1290" w:rsidRDefault="002D1290" w:rsidP="002D1290">
      <w:pPr>
        <w:ind w:left="720"/>
        <w:rPr>
          <w:rFonts w:asciiTheme="minorHAnsi" w:hAnsiTheme="minorHAnsi"/>
          <w:color w:val="000000"/>
          <w:sz w:val="22"/>
          <w:szCs w:val="22"/>
        </w:rPr>
      </w:pPr>
    </w:p>
    <w:p w14:paraId="527954A5" w14:textId="3A54EE70" w:rsidR="00271C7C" w:rsidRPr="00E236BC" w:rsidRDefault="00EA434E" w:rsidP="002D1290">
      <w:pPr>
        <w:ind w:left="720"/>
        <w:rPr>
          <w:rFonts w:asciiTheme="minorHAnsi" w:hAnsiTheme="minorHAnsi"/>
          <w:color w:val="000000"/>
          <w:sz w:val="22"/>
          <w:szCs w:val="22"/>
        </w:rPr>
      </w:pPr>
      <w:r>
        <w:rPr>
          <w:rFonts w:asciiTheme="minorHAnsi" w:hAnsiTheme="minorHAnsi"/>
          <w:color w:val="000000"/>
          <w:sz w:val="22"/>
          <w:szCs w:val="22"/>
        </w:rPr>
        <w:t xml:space="preserve">Other exceptions focus on when the </w:t>
      </w:r>
      <w:r w:rsidR="00A15C41">
        <w:rPr>
          <w:rFonts w:asciiTheme="minorHAnsi" w:hAnsiTheme="minorHAnsi"/>
          <w:color w:val="000000"/>
          <w:sz w:val="22"/>
          <w:szCs w:val="22"/>
        </w:rPr>
        <w:t>three</w:t>
      </w:r>
      <w:r>
        <w:rPr>
          <w:rFonts w:asciiTheme="minorHAnsi" w:hAnsiTheme="minorHAnsi"/>
          <w:color w:val="000000"/>
          <w:sz w:val="22"/>
          <w:szCs w:val="22"/>
        </w:rPr>
        <w:t>-year requirement begins and</w:t>
      </w:r>
      <w:r w:rsidR="00236D5C">
        <w:rPr>
          <w:rFonts w:asciiTheme="minorHAnsi" w:hAnsiTheme="minorHAnsi"/>
          <w:color w:val="000000"/>
          <w:sz w:val="22"/>
          <w:szCs w:val="22"/>
        </w:rPr>
        <w:t xml:space="preserve"> may </w:t>
      </w:r>
      <w:r w:rsidR="008E09F5">
        <w:rPr>
          <w:rFonts w:asciiTheme="minorHAnsi" w:hAnsiTheme="minorHAnsi"/>
          <w:color w:val="000000"/>
          <w:sz w:val="22"/>
          <w:szCs w:val="22"/>
        </w:rPr>
        <w:t xml:space="preserve">also </w:t>
      </w:r>
      <w:r w:rsidR="00236D5C">
        <w:rPr>
          <w:rFonts w:asciiTheme="minorHAnsi" w:hAnsiTheme="minorHAnsi"/>
          <w:color w:val="000000"/>
          <w:sz w:val="22"/>
          <w:szCs w:val="22"/>
        </w:rPr>
        <w:t>result in a longer retention period</w:t>
      </w:r>
      <w:r>
        <w:rPr>
          <w:rFonts w:asciiTheme="minorHAnsi" w:hAnsiTheme="minorHAnsi"/>
          <w:color w:val="000000"/>
          <w:sz w:val="22"/>
          <w:szCs w:val="22"/>
        </w:rPr>
        <w:t xml:space="preserve"> </w:t>
      </w:r>
      <w:r w:rsidR="00236D5C">
        <w:rPr>
          <w:rFonts w:asciiTheme="minorHAnsi" w:hAnsiTheme="minorHAnsi"/>
          <w:color w:val="000000"/>
          <w:sz w:val="22"/>
          <w:szCs w:val="22"/>
        </w:rPr>
        <w:t xml:space="preserve">for certain records relating to: (i) </w:t>
      </w:r>
      <w:r w:rsidR="00B468DC">
        <w:rPr>
          <w:rFonts w:asciiTheme="minorHAnsi" w:hAnsiTheme="minorHAnsi"/>
          <w:color w:val="000000"/>
          <w:sz w:val="22"/>
          <w:szCs w:val="22"/>
        </w:rPr>
        <w:t xml:space="preserve">the </w:t>
      </w:r>
      <w:r w:rsidR="00236D5C">
        <w:rPr>
          <w:rFonts w:asciiTheme="minorHAnsi" w:hAnsiTheme="minorHAnsi"/>
          <w:color w:val="000000"/>
          <w:sz w:val="22"/>
          <w:szCs w:val="22"/>
        </w:rPr>
        <w:t xml:space="preserve">disposition of </w:t>
      </w:r>
      <w:r w:rsidR="00271C7C">
        <w:rPr>
          <w:rFonts w:asciiTheme="minorHAnsi" w:hAnsiTheme="minorHAnsi"/>
          <w:color w:val="000000"/>
          <w:sz w:val="22"/>
          <w:szCs w:val="22"/>
        </w:rPr>
        <w:t>real property</w:t>
      </w:r>
      <w:r w:rsidR="00236D5C">
        <w:rPr>
          <w:rFonts w:asciiTheme="minorHAnsi" w:hAnsiTheme="minorHAnsi"/>
          <w:color w:val="000000"/>
          <w:sz w:val="22"/>
          <w:szCs w:val="22"/>
        </w:rPr>
        <w:t xml:space="preserve"> and</w:t>
      </w:r>
      <w:r w:rsidR="00271C7C">
        <w:rPr>
          <w:rFonts w:asciiTheme="minorHAnsi" w:hAnsiTheme="minorHAnsi"/>
          <w:color w:val="000000"/>
          <w:sz w:val="22"/>
          <w:szCs w:val="22"/>
        </w:rPr>
        <w:t xml:space="preserve"> equipment,</w:t>
      </w:r>
      <w:r w:rsidR="004B5683">
        <w:rPr>
          <w:rFonts w:asciiTheme="minorHAnsi" w:hAnsiTheme="minorHAnsi"/>
          <w:color w:val="000000"/>
          <w:sz w:val="22"/>
          <w:szCs w:val="22"/>
        </w:rPr>
        <w:t xml:space="preserve"> </w:t>
      </w:r>
      <w:r w:rsidR="00236D5C">
        <w:rPr>
          <w:rFonts w:asciiTheme="minorHAnsi" w:hAnsiTheme="minorHAnsi"/>
          <w:color w:val="000000"/>
          <w:sz w:val="22"/>
          <w:szCs w:val="22"/>
        </w:rPr>
        <w:t>(ii)</w:t>
      </w:r>
      <w:r w:rsidR="00271C7C">
        <w:rPr>
          <w:rFonts w:asciiTheme="minorHAnsi" w:hAnsiTheme="minorHAnsi"/>
          <w:color w:val="000000"/>
          <w:sz w:val="22"/>
          <w:szCs w:val="22"/>
        </w:rPr>
        <w:t xml:space="preserve"> program income </w:t>
      </w:r>
      <w:r w:rsidR="00236D5C">
        <w:rPr>
          <w:rFonts w:asciiTheme="minorHAnsi" w:hAnsiTheme="minorHAnsi"/>
          <w:color w:val="000000"/>
          <w:sz w:val="22"/>
          <w:szCs w:val="22"/>
        </w:rPr>
        <w:t xml:space="preserve">reported </w:t>
      </w:r>
      <w:r w:rsidR="00271C7C">
        <w:rPr>
          <w:rFonts w:asciiTheme="minorHAnsi" w:hAnsiTheme="minorHAnsi"/>
          <w:color w:val="000000"/>
          <w:sz w:val="22"/>
          <w:szCs w:val="22"/>
        </w:rPr>
        <w:t>after the period of performance</w:t>
      </w:r>
      <w:r w:rsidR="00236D5C">
        <w:rPr>
          <w:rFonts w:asciiTheme="minorHAnsi" w:hAnsiTheme="minorHAnsi"/>
          <w:color w:val="000000"/>
          <w:sz w:val="22"/>
          <w:szCs w:val="22"/>
        </w:rPr>
        <w:t xml:space="preserve">, and (iii) </w:t>
      </w:r>
      <w:r w:rsidR="00B468DC">
        <w:rPr>
          <w:rFonts w:asciiTheme="minorHAnsi" w:hAnsiTheme="minorHAnsi"/>
          <w:color w:val="000000"/>
          <w:sz w:val="22"/>
          <w:szCs w:val="22"/>
        </w:rPr>
        <w:t xml:space="preserve">the </w:t>
      </w:r>
      <w:r w:rsidR="00236D5C">
        <w:rPr>
          <w:rFonts w:asciiTheme="minorHAnsi" w:hAnsiTheme="minorHAnsi"/>
          <w:color w:val="000000"/>
          <w:sz w:val="22"/>
          <w:szCs w:val="22"/>
        </w:rPr>
        <w:t xml:space="preserve">negotiation of </w:t>
      </w:r>
      <w:r w:rsidR="00271C7C">
        <w:rPr>
          <w:rFonts w:asciiTheme="minorHAnsi" w:hAnsiTheme="minorHAnsi"/>
          <w:color w:val="000000"/>
          <w:sz w:val="22"/>
          <w:szCs w:val="22"/>
        </w:rPr>
        <w:t xml:space="preserve">indirect cost rate proposals and cost allocations plans. </w:t>
      </w:r>
      <w:r w:rsidR="00236D5C">
        <w:rPr>
          <w:rFonts w:asciiTheme="minorHAnsi" w:hAnsiTheme="minorHAnsi"/>
          <w:color w:val="000000"/>
          <w:sz w:val="22"/>
          <w:szCs w:val="22"/>
        </w:rPr>
        <w:t xml:space="preserve">Lastly, the exceptions clarify that the </w:t>
      </w:r>
      <w:r w:rsidR="00A15C41">
        <w:rPr>
          <w:rFonts w:asciiTheme="minorHAnsi" w:hAnsiTheme="minorHAnsi"/>
          <w:color w:val="000000"/>
          <w:sz w:val="22"/>
          <w:szCs w:val="22"/>
        </w:rPr>
        <w:t>three</w:t>
      </w:r>
      <w:r w:rsidR="00236D5C">
        <w:rPr>
          <w:rFonts w:asciiTheme="minorHAnsi" w:hAnsiTheme="minorHAnsi"/>
          <w:color w:val="000000"/>
          <w:sz w:val="22"/>
          <w:szCs w:val="22"/>
        </w:rPr>
        <w:t xml:space="preserve">-year requirement does not apply </w:t>
      </w:r>
      <w:r w:rsidR="00236D5C">
        <w:rPr>
          <w:rStyle w:val="Hyperlink"/>
          <w:rFonts w:asciiTheme="minorHAnsi" w:hAnsiTheme="minorHAnsi"/>
          <w:color w:val="auto"/>
          <w:sz w:val="22"/>
          <w:szCs w:val="22"/>
          <w:u w:val="none"/>
        </w:rPr>
        <w:t xml:space="preserve">when </w:t>
      </w:r>
      <w:r w:rsidR="00271C7C" w:rsidRPr="00271C7C">
        <w:rPr>
          <w:rStyle w:val="Hyperlink"/>
          <w:rFonts w:asciiTheme="minorHAnsi" w:hAnsiTheme="minorHAnsi"/>
          <w:color w:val="auto"/>
          <w:sz w:val="22"/>
          <w:szCs w:val="22"/>
          <w:u w:val="none"/>
        </w:rPr>
        <w:t xml:space="preserve">records </w:t>
      </w:r>
      <w:r w:rsidR="00236D5C">
        <w:rPr>
          <w:rStyle w:val="Hyperlink"/>
          <w:rFonts w:asciiTheme="minorHAnsi" w:hAnsiTheme="minorHAnsi"/>
          <w:color w:val="auto"/>
          <w:sz w:val="22"/>
          <w:szCs w:val="22"/>
          <w:u w:val="none"/>
        </w:rPr>
        <w:t xml:space="preserve">are </w:t>
      </w:r>
      <w:r w:rsidR="00271C7C" w:rsidRPr="00271C7C">
        <w:rPr>
          <w:rStyle w:val="Hyperlink"/>
          <w:rFonts w:asciiTheme="minorHAnsi" w:hAnsiTheme="minorHAnsi"/>
          <w:color w:val="auto"/>
          <w:sz w:val="22"/>
          <w:szCs w:val="22"/>
          <w:u w:val="none"/>
        </w:rPr>
        <w:t xml:space="preserve">transferred to or maintained by a </w:t>
      </w:r>
      <w:r w:rsidR="002332BE">
        <w:rPr>
          <w:rStyle w:val="Hyperlink"/>
          <w:rFonts w:asciiTheme="minorHAnsi" w:hAnsiTheme="minorHAnsi"/>
          <w:color w:val="auto"/>
          <w:sz w:val="22"/>
          <w:szCs w:val="22"/>
          <w:u w:val="none"/>
        </w:rPr>
        <w:t>federal</w:t>
      </w:r>
      <w:r w:rsidR="00271C7C" w:rsidRPr="00271C7C">
        <w:rPr>
          <w:rStyle w:val="Hyperlink"/>
          <w:rFonts w:asciiTheme="minorHAnsi" w:hAnsiTheme="minorHAnsi"/>
          <w:color w:val="auto"/>
          <w:sz w:val="22"/>
          <w:szCs w:val="22"/>
          <w:u w:val="none"/>
        </w:rPr>
        <w:t xml:space="preserve"> awarding agency or pass-through entity</w:t>
      </w:r>
      <w:r w:rsidR="00271C7C" w:rsidRPr="00E236BC">
        <w:rPr>
          <w:rStyle w:val="Hyperlink"/>
          <w:rFonts w:asciiTheme="minorHAnsi" w:hAnsiTheme="minorHAnsi"/>
          <w:color w:val="auto"/>
          <w:sz w:val="22"/>
          <w:szCs w:val="22"/>
          <w:u w:val="none"/>
        </w:rPr>
        <w:t xml:space="preserve">. </w:t>
      </w:r>
      <w:r w:rsidR="008E09F5">
        <w:rPr>
          <w:rStyle w:val="Hyperlink"/>
          <w:rFonts w:asciiTheme="minorHAnsi" w:hAnsiTheme="minorHAnsi"/>
          <w:color w:val="auto"/>
          <w:sz w:val="22"/>
          <w:szCs w:val="22"/>
          <w:u w:val="none"/>
        </w:rPr>
        <w:t xml:space="preserve">While these exception may not be directly addressed in a policy, </w:t>
      </w:r>
      <w:r w:rsidR="004267AD">
        <w:rPr>
          <w:rStyle w:val="Hyperlink"/>
          <w:rFonts w:asciiTheme="minorHAnsi" w:hAnsiTheme="minorHAnsi"/>
          <w:color w:val="auto"/>
          <w:sz w:val="22"/>
          <w:szCs w:val="22"/>
          <w:u w:val="none"/>
        </w:rPr>
        <w:t>a CAA</w:t>
      </w:r>
      <w:r w:rsidR="00E236BC">
        <w:rPr>
          <w:rStyle w:val="Hyperlink"/>
          <w:rFonts w:asciiTheme="minorHAnsi" w:hAnsiTheme="minorHAnsi"/>
          <w:color w:val="auto"/>
          <w:sz w:val="22"/>
          <w:szCs w:val="22"/>
          <w:u w:val="none"/>
        </w:rPr>
        <w:t xml:space="preserve"> should be aware of </w:t>
      </w:r>
      <w:r w:rsidR="004267AD">
        <w:rPr>
          <w:rStyle w:val="Hyperlink"/>
          <w:rFonts w:asciiTheme="minorHAnsi" w:hAnsiTheme="minorHAnsi"/>
          <w:color w:val="auto"/>
          <w:sz w:val="22"/>
          <w:szCs w:val="22"/>
          <w:u w:val="none"/>
        </w:rPr>
        <w:t>the</w:t>
      </w:r>
      <w:r w:rsidR="008E09F5">
        <w:rPr>
          <w:rStyle w:val="Hyperlink"/>
          <w:rFonts w:asciiTheme="minorHAnsi" w:hAnsiTheme="minorHAnsi"/>
          <w:color w:val="auto"/>
          <w:sz w:val="22"/>
          <w:szCs w:val="22"/>
          <w:u w:val="none"/>
        </w:rPr>
        <w:t xml:space="preserve">m </w:t>
      </w:r>
      <w:r w:rsidR="004267AD">
        <w:rPr>
          <w:rStyle w:val="Hyperlink"/>
          <w:rFonts w:asciiTheme="minorHAnsi" w:hAnsiTheme="minorHAnsi"/>
          <w:color w:val="auto"/>
          <w:sz w:val="22"/>
          <w:szCs w:val="22"/>
          <w:u w:val="none"/>
        </w:rPr>
        <w:t xml:space="preserve">and prepared to comply with them if necessary. </w:t>
      </w:r>
    </w:p>
    <w:p w14:paraId="13B12A97" w14:textId="77777777" w:rsidR="00271C7C" w:rsidRPr="00271C7C" w:rsidRDefault="00271C7C" w:rsidP="00271C7C">
      <w:pPr>
        <w:rPr>
          <w:rFonts w:asciiTheme="minorHAnsi" w:hAnsiTheme="minorHAnsi"/>
          <w:i/>
          <w:color w:val="000000"/>
          <w:sz w:val="22"/>
          <w:szCs w:val="22"/>
        </w:rPr>
      </w:pPr>
      <w:r>
        <w:rPr>
          <w:rFonts w:asciiTheme="minorHAnsi" w:hAnsiTheme="minorHAnsi"/>
          <w:i/>
          <w:color w:val="000000"/>
          <w:sz w:val="22"/>
          <w:szCs w:val="22"/>
        </w:rPr>
        <w:tab/>
      </w:r>
    </w:p>
    <w:p w14:paraId="0EBBA4DF" w14:textId="6AE320E8" w:rsidR="00F34330" w:rsidRPr="00935D8C" w:rsidRDefault="00324E08" w:rsidP="00935D8C">
      <w:pPr>
        <w:pStyle w:val="ListParagraph"/>
        <w:rPr>
          <w:rFonts w:asciiTheme="minorHAnsi" w:hAnsiTheme="minorHAnsi"/>
          <w:color w:val="000000"/>
          <w:sz w:val="22"/>
          <w:szCs w:val="22"/>
        </w:rPr>
      </w:pPr>
      <w:r>
        <w:rPr>
          <w:rFonts w:asciiTheme="minorHAnsi" w:hAnsiTheme="minorHAnsi"/>
          <w:color w:val="000000"/>
          <w:sz w:val="22"/>
          <w:szCs w:val="22"/>
        </w:rPr>
        <w:t xml:space="preserve">The Uniform Guidance also requires </w:t>
      </w:r>
      <w:r w:rsidR="00935D8C">
        <w:rPr>
          <w:rFonts w:asciiTheme="minorHAnsi" w:hAnsiTheme="minorHAnsi"/>
          <w:color w:val="000000"/>
          <w:sz w:val="22"/>
          <w:szCs w:val="22"/>
        </w:rPr>
        <w:t>that n</w:t>
      </w:r>
      <w:r>
        <w:rPr>
          <w:rFonts w:asciiTheme="minorHAnsi" w:hAnsiTheme="minorHAnsi"/>
          <w:color w:val="000000"/>
          <w:sz w:val="22"/>
          <w:szCs w:val="22"/>
        </w:rPr>
        <w:t>on-</w:t>
      </w:r>
      <w:r w:rsidR="002332BE">
        <w:rPr>
          <w:rFonts w:asciiTheme="minorHAnsi" w:hAnsiTheme="minorHAnsi"/>
          <w:color w:val="000000"/>
          <w:sz w:val="22"/>
          <w:szCs w:val="22"/>
        </w:rPr>
        <w:t>federal</w:t>
      </w:r>
      <w:r>
        <w:rPr>
          <w:rFonts w:asciiTheme="minorHAnsi" w:hAnsiTheme="minorHAnsi"/>
          <w:color w:val="000000"/>
          <w:sz w:val="22"/>
          <w:szCs w:val="22"/>
        </w:rPr>
        <w:t xml:space="preserve"> enti</w:t>
      </w:r>
      <w:r w:rsidR="00935D8C">
        <w:rPr>
          <w:rFonts w:asciiTheme="minorHAnsi" w:hAnsiTheme="minorHAnsi"/>
          <w:color w:val="000000"/>
          <w:sz w:val="22"/>
          <w:szCs w:val="22"/>
        </w:rPr>
        <w:t xml:space="preserve">ties engage in reasonable efforts to </w:t>
      </w:r>
      <w:r w:rsidR="00F34330">
        <w:rPr>
          <w:rFonts w:asciiTheme="minorHAnsi" w:hAnsiTheme="minorHAnsi"/>
          <w:color w:val="000000"/>
          <w:sz w:val="22"/>
          <w:szCs w:val="22"/>
        </w:rPr>
        <w:t>safeguard protected personally identifiable information, including in records that it retains</w:t>
      </w:r>
      <w:r w:rsidR="00935D8C">
        <w:rPr>
          <w:rFonts w:asciiTheme="minorHAnsi" w:hAnsiTheme="minorHAnsi"/>
          <w:color w:val="000000"/>
          <w:sz w:val="22"/>
          <w:szCs w:val="22"/>
        </w:rPr>
        <w:t xml:space="preserve">, as well as other private or confidential information consistent with legal requirements. </w:t>
      </w:r>
      <w:hyperlink r:id="rId11" w:anchor="se2.1.200_1303" w:history="1">
        <w:r w:rsidRPr="00935D8C">
          <w:rPr>
            <w:rStyle w:val="Hyperlink"/>
            <w:rFonts w:asciiTheme="minorHAnsi" w:hAnsiTheme="minorHAnsi"/>
            <w:sz w:val="22"/>
            <w:szCs w:val="22"/>
          </w:rPr>
          <w:t>2 C.F.R. § 200.303(e)</w:t>
        </w:r>
      </w:hyperlink>
      <w:r w:rsidR="004B5683">
        <w:rPr>
          <w:rStyle w:val="Hyperlink"/>
          <w:rFonts w:asciiTheme="minorHAnsi" w:hAnsiTheme="minorHAnsi"/>
          <w:sz w:val="22"/>
          <w:szCs w:val="22"/>
        </w:rPr>
        <w:t xml:space="preserve">; </w:t>
      </w:r>
      <w:hyperlink r:id="rId12" w:anchor="se45.1.75_1303" w:history="1">
        <w:r w:rsidR="004B5683" w:rsidRPr="004B5683">
          <w:rPr>
            <w:rStyle w:val="Hyperlink"/>
            <w:rFonts w:asciiTheme="minorHAnsi" w:hAnsiTheme="minorHAnsi"/>
            <w:sz w:val="22"/>
            <w:szCs w:val="22"/>
          </w:rPr>
          <w:t>45 C.F.R. § 75.303(e)</w:t>
        </w:r>
      </w:hyperlink>
      <w:r w:rsidRPr="00935D8C">
        <w:rPr>
          <w:rFonts w:asciiTheme="minorHAnsi" w:hAnsiTheme="minorHAnsi"/>
          <w:color w:val="000000"/>
          <w:sz w:val="22"/>
          <w:szCs w:val="22"/>
        </w:rPr>
        <w:t>.</w:t>
      </w:r>
      <w:r w:rsidR="00935D8C">
        <w:rPr>
          <w:rFonts w:asciiTheme="minorHAnsi" w:hAnsiTheme="minorHAnsi"/>
          <w:color w:val="000000"/>
          <w:sz w:val="22"/>
          <w:szCs w:val="22"/>
        </w:rPr>
        <w:t xml:space="preserve"> </w:t>
      </w:r>
      <w:r w:rsidR="00F34330" w:rsidRPr="00935D8C">
        <w:rPr>
          <w:rFonts w:asciiTheme="minorHAnsi" w:hAnsiTheme="minorHAnsi"/>
          <w:color w:val="000000"/>
          <w:sz w:val="22"/>
          <w:szCs w:val="22"/>
        </w:rPr>
        <w:t>“</w:t>
      </w:r>
      <w:r w:rsidR="00F34330" w:rsidRPr="00935D8C">
        <w:rPr>
          <w:rFonts w:asciiTheme="minorHAnsi" w:hAnsiTheme="minorHAnsi"/>
          <w:iCs/>
          <w:color w:val="000000"/>
          <w:sz w:val="22"/>
          <w:szCs w:val="22"/>
        </w:rPr>
        <w:t xml:space="preserve">Protected Personally Identifiable Information” </w:t>
      </w:r>
      <w:r w:rsidR="008E09F5">
        <w:rPr>
          <w:rFonts w:asciiTheme="minorHAnsi" w:hAnsiTheme="minorHAnsi"/>
          <w:iCs/>
          <w:color w:val="000000"/>
          <w:sz w:val="22"/>
          <w:szCs w:val="22"/>
        </w:rPr>
        <w:t xml:space="preserve">is defined </w:t>
      </w:r>
      <w:r w:rsidR="00F34330" w:rsidRPr="00935D8C">
        <w:rPr>
          <w:rFonts w:asciiTheme="minorHAnsi" w:hAnsiTheme="minorHAnsi"/>
          <w:iCs/>
          <w:color w:val="000000"/>
          <w:sz w:val="22"/>
          <w:szCs w:val="22"/>
        </w:rPr>
        <w:t>as:</w:t>
      </w:r>
    </w:p>
    <w:p w14:paraId="4FB0B376" w14:textId="77777777" w:rsidR="00F34330" w:rsidRDefault="00F34330" w:rsidP="00F94004">
      <w:pPr>
        <w:pStyle w:val="ListParagraph"/>
        <w:rPr>
          <w:rFonts w:asciiTheme="minorHAnsi" w:hAnsiTheme="minorHAnsi"/>
          <w:color w:val="000000"/>
          <w:sz w:val="22"/>
          <w:szCs w:val="22"/>
        </w:rPr>
      </w:pPr>
    </w:p>
    <w:p w14:paraId="48E19567" w14:textId="77777777" w:rsidR="00F34330" w:rsidRPr="00F34330" w:rsidRDefault="00F34330" w:rsidP="00F34330">
      <w:pPr>
        <w:pStyle w:val="ListParagraph"/>
        <w:ind w:left="1440"/>
        <w:rPr>
          <w:rFonts w:asciiTheme="minorHAnsi" w:hAnsiTheme="minorHAnsi"/>
          <w:i/>
          <w:color w:val="000000"/>
          <w:sz w:val="22"/>
          <w:szCs w:val="22"/>
        </w:rPr>
      </w:pPr>
      <w:r w:rsidRPr="00F34330">
        <w:rPr>
          <w:rFonts w:asciiTheme="minorHAnsi" w:hAnsiTheme="minorHAnsi"/>
          <w:i/>
          <w:color w:val="000000"/>
          <w:sz w:val="22"/>
          <w:szCs w:val="22"/>
        </w:rPr>
        <w:t>[A]n individual's first name or first initial and last name in combination with any one or more of types of information, including, but not limited to, social security number, passport number, credit card numbers, clearances, bank numbers, biometrics, date and place of birth, mother's maiden name, criminal, medical and financial records, educational transcripts. This does not include PII that is r</w:t>
      </w:r>
      <w:r w:rsidR="00D05C60">
        <w:rPr>
          <w:rFonts w:asciiTheme="minorHAnsi" w:hAnsiTheme="minorHAnsi"/>
          <w:i/>
          <w:color w:val="000000"/>
          <w:sz w:val="22"/>
          <w:szCs w:val="22"/>
        </w:rPr>
        <w:t>equired by law to be disclosed.</w:t>
      </w:r>
    </w:p>
    <w:p w14:paraId="112D5A9A" w14:textId="77777777" w:rsidR="00F34330" w:rsidRDefault="00F34330" w:rsidP="00F94004">
      <w:pPr>
        <w:pStyle w:val="ListParagraph"/>
        <w:rPr>
          <w:rFonts w:asciiTheme="minorHAnsi" w:hAnsiTheme="minorHAnsi"/>
          <w:color w:val="000000"/>
          <w:sz w:val="22"/>
          <w:szCs w:val="22"/>
        </w:rPr>
      </w:pPr>
    </w:p>
    <w:p w14:paraId="13F972AE" w14:textId="77777777" w:rsidR="00F34330" w:rsidRDefault="005C79EA" w:rsidP="00F94004">
      <w:pPr>
        <w:pStyle w:val="ListParagraph"/>
        <w:rPr>
          <w:rFonts w:asciiTheme="minorHAnsi" w:hAnsiTheme="minorHAnsi"/>
          <w:color w:val="000000"/>
          <w:sz w:val="22"/>
          <w:szCs w:val="22"/>
        </w:rPr>
      </w:pPr>
      <w:hyperlink r:id="rId13" w:history="1">
        <w:r w:rsidR="00F34330" w:rsidRPr="00F34330">
          <w:rPr>
            <w:rStyle w:val="Hyperlink"/>
            <w:rFonts w:asciiTheme="minorHAnsi" w:hAnsiTheme="minorHAnsi"/>
            <w:sz w:val="22"/>
            <w:szCs w:val="22"/>
          </w:rPr>
          <w:t>2 C.F.R. § 200.82</w:t>
        </w:r>
      </w:hyperlink>
      <w:r w:rsidR="004B5683">
        <w:rPr>
          <w:rStyle w:val="Hyperlink"/>
          <w:rFonts w:asciiTheme="minorHAnsi" w:hAnsiTheme="minorHAnsi"/>
          <w:sz w:val="22"/>
          <w:szCs w:val="22"/>
        </w:rPr>
        <w:t xml:space="preserve">; </w:t>
      </w:r>
      <w:hyperlink r:id="rId14" w:anchor="se45.1.75_12" w:history="1">
        <w:r w:rsidR="004B5683" w:rsidRPr="004B5683">
          <w:rPr>
            <w:rStyle w:val="Hyperlink"/>
            <w:rFonts w:asciiTheme="minorHAnsi" w:hAnsiTheme="minorHAnsi"/>
            <w:sz w:val="22"/>
            <w:szCs w:val="22"/>
          </w:rPr>
          <w:t>45 C.F.R. § 75.2</w:t>
        </w:r>
      </w:hyperlink>
      <w:r w:rsidR="00F34330">
        <w:rPr>
          <w:rFonts w:asciiTheme="minorHAnsi" w:hAnsiTheme="minorHAnsi"/>
          <w:color w:val="000000"/>
          <w:sz w:val="22"/>
          <w:szCs w:val="22"/>
        </w:rPr>
        <w:t>.</w:t>
      </w:r>
    </w:p>
    <w:p w14:paraId="63B1418B" w14:textId="77777777" w:rsidR="00F34330" w:rsidRPr="00F94004" w:rsidRDefault="00F34330" w:rsidP="00F94004">
      <w:pPr>
        <w:pStyle w:val="ListParagraph"/>
        <w:rPr>
          <w:rFonts w:asciiTheme="minorHAnsi" w:hAnsiTheme="minorHAnsi"/>
          <w:color w:val="000000"/>
          <w:sz w:val="22"/>
          <w:szCs w:val="22"/>
        </w:rPr>
      </w:pPr>
    </w:p>
    <w:p w14:paraId="222C6483" w14:textId="77777777" w:rsidR="00F94004" w:rsidRDefault="00F94004" w:rsidP="00F94004">
      <w:pPr>
        <w:pStyle w:val="ListParagraph"/>
        <w:numPr>
          <w:ilvl w:val="0"/>
          <w:numId w:val="9"/>
        </w:numPr>
        <w:rPr>
          <w:rFonts w:asciiTheme="minorHAnsi" w:hAnsiTheme="minorHAnsi"/>
          <w:color w:val="000000"/>
          <w:sz w:val="22"/>
          <w:szCs w:val="22"/>
        </w:rPr>
      </w:pPr>
      <w:r w:rsidRPr="004F7597">
        <w:rPr>
          <w:rFonts w:asciiTheme="minorHAnsi" w:hAnsiTheme="minorHAnsi"/>
          <w:b/>
          <w:color w:val="000000"/>
          <w:sz w:val="22"/>
          <w:szCs w:val="22"/>
        </w:rPr>
        <w:t>Form 990</w:t>
      </w:r>
      <w:r w:rsidRPr="00F94004">
        <w:rPr>
          <w:rFonts w:asciiTheme="minorHAnsi" w:hAnsiTheme="minorHAnsi"/>
          <w:color w:val="000000"/>
          <w:sz w:val="22"/>
          <w:szCs w:val="22"/>
        </w:rPr>
        <w:t>: While the IRS does not require a tax-exempt organization to adopt a record retention policy to maintain tax-exempt status, it highlights the importance of having one by requiring a tax-exempt organization to acknowledge on its Form 990 whether it has a written document retention and destruction policy (Part VI, Sec. B, Line 14). The Form 990 instructions</w:t>
      </w:r>
      <w:r>
        <w:rPr>
          <w:rFonts w:asciiTheme="minorHAnsi" w:hAnsiTheme="minorHAnsi"/>
          <w:color w:val="000000"/>
          <w:sz w:val="22"/>
          <w:szCs w:val="22"/>
        </w:rPr>
        <w:t xml:space="preserve"> </w:t>
      </w:r>
      <w:r w:rsidRPr="00F94004">
        <w:rPr>
          <w:rFonts w:asciiTheme="minorHAnsi" w:hAnsiTheme="minorHAnsi"/>
          <w:color w:val="000000"/>
          <w:sz w:val="22"/>
          <w:szCs w:val="22"/>
        </w:rPr>
        <w:t>state that a record “retention and destruction policy identifies the record retention responsibilities of staff, volunteers, board members, and outsiders for maintaining and documenting the storage and destruction of the organization’s documents and records.” (Instructions for Form 990, p. 24). Thus, the organization must adopt a policy that meets these criteria to answer “yes” to Part VI, Sec. B, Line 14 of the Form 990.</w:t>
      </w:r>
    </w:p>
    <w:p w14:paraId="1C18C877" w14:textId="77777777" w:rsidR="00F94004" w:rsidRPr="00F94004" w:rsidRDefault="00F94004" w:rsidP="00F94004">
      <w:pPr>
        <w:pStyle w:val="ListParagraph"/>
        <w:rPr>
          <w:rFonts w:asciiTheme="minorHAnsi" w:hAnsiTheme="minorHAnsi"/>
          <w:color w:val="000000"/>
          <w:sz w:val="22"/>
          <w:szCs w:val="22"/>
        </w:rPr>
      </w:pPr>
    </w:p>
    <w:p w14:paraId="7DCF2CA8" w14:textId="77777777" w:rsidR="00F94004" w:rsidRDefault="00F94004" w:rsidP="00F94004">
      <w:pPr>
        <w:pStyle w:val="ListParagraph"/>
        <w:numPr>
          <w:ilvl w:val="0"/>
          <w:numId w:val="9"/>
        </w:numPr>
        <w:rPr>
          <w:rFonts w:asciiTheme="minorHAnsi" w:hAnsiTheme="minorHAnsi"/>
          <w:color w:val="000000"/>
          <w:sz w:val="22"/>
          <w:szCs w:val="22"/>
        </w:rPr>
      </w:pPr>
      <w:r w:rsidRPr="00F94004">
        <w:rPr>
          <w:rFonts w:asciiTheme="minorHAnsi" w:hAnsiTheme="minorHAnsi"/>
          <w:b/>
          <w:color w:val="000000"/>
          <w:sz w:val="22"/>
          <w:szCs w:val="22"/>
        </w:rPr>
        <w:t>Sarbanes-Oxley Act</w:t>
      </w:r>
      <w:r w:rsidRPr="00F94004">
        <w:rPr>
          <w:rFonts w:asciiTheme="minorHAnsi" w:hAnsiTheme="minorHAnsi"/>
          <w:color w:val="000000"/>
          <w:sz w:val="22"/>
          <w:szCs w:val="22"/>
        </w:rPr>
        <w:t xml:space="preserve">: Under the Sarbanes-Oxley Act, it is a criminal offense punishable by fine and/or up to 20 years imprisonment to knowingly alter or destroy a document with the intent to obstruct or </w:t>
      </w:r>
      <w:r w:rsidRPr="00F94004">
        <w:rPr>
          <w:rFonts w:asciiTheme="minorHAnsi" w:hAnsiTheme="minorHAnsi"/>
          <w:color w:val="000000"/>
          <w:sz w:val="22"/>
          <w:szCs w:val="22"/>
        </w:rPr>
        <w:lastRenderedPageBreak/>
        <w:t>influence an “investigation or proper administration of any matter within the jurisdiction of any department or agency of the United States … or in relation to or contemp</w:t>
      </w:r>
      <w:r w:rsidR="00324E08">
        <w:rPr>
          <w:rFonts w:asciiTheme="minorHAnsi" w:hAnsiTheme="minorHAnsi"/>
          <w:color w:val="000000"/>
          <w:sz w:val="22"/>
          <w:szCs w:val="22"/>
        </w:rPr>
        <w:t>lation of such matter or case”</w:t>
      </w:r>
      <w:r w:rsidRPr="00F94004">
        <w:rPr>
          <w:rFonts w:asciiTheme="minorHAnsi" w:hAnsiTheme="minorHAnsi"/>
          <w:color w:val="000000"/>
          <w:sz w:val="22"/>
          <w:szCs w:val="22"/>
        </w:rPr>
        <w:t xml:space="preserve"> </w:t>
      </w:r>
      <w:hyperlink r:id="rId15" w:history="1">
        <w:r w:rsidRPr="00324E08">
          <w:rPr>
            <w:rStyle w:val="Hyperlink"/>
            <w:rFonts w:asciiTheme="minorHAnsi" w:hAnsiTheme="minorHAnsi"/>
            <w:sz w:val="22"/>
            <w:szCs w:val="22"/>
          </w:rPr>
          <w:t>18 U.S.C. § 1519</w:t>
        </w:r>
      </w:hyperlink>
      <w:r w:rsidRPr="00F94004">
        <w:rPr>
          <w:rFonts w:asciiTheme="minorHAnsi" w:hAnsiTheme="minorHAnsi"/>
          <w:color w:val="000000"/>
          <w:sz w:val="22"/>
          <w:szCs w:val="22"/>
        </w:rPr>
        <w:t>.</w:t>
      </w:r>
      <w:r w:rsidR="00FC5CCC">
        <w:rPr>
          <w:rFonts w:asciiTheme="minorHAnsi" w:hAnsiTheme="minorHAnsi"/>
          <w:color w:val="000000"/>
          <w:sz w:val="22"/>
          <w:szCs w:val="22"/>
        </w:rPr>
        <w:t xml:space="preserve"> To avoid potential liability, CAAs should </w:t>
      </w:r>
      <w:r w:rsidR="00725FDB">
        <w:rPr>
          <w:rFonts w:asciiTheme="minorHAnsi" w:hAnsiTheme="minorHAnsi"/>
          <w:color w:val="000000"/>
          <w:sz w:val="22"/>
          <w:szCs w:val="22"/>
        </w:rPr>
        <w:t xml:space="preserve">adopt policies and procedures that help </w:t>
      </w:r>
      <w:r w:rsidR="00FC5CCC">
        <w:rPr>
          <w:rFonts w:asciiTheme="minorHAnsi" w:hAnsiTheme="minorHAnsi"/>
          <w:color w:val="000000"/>
          <w:sz w:val="22"/>
          <w:szCs w:val="22"/>
        </w:rPr>
        <w:t xml:space="preserve">ensure such records </w:t>
      </w:r>
      <w:r w:rsidR="00725FDB">
        <w:rPr>
          <w:rFonts w:asciiTheme="minorHAnsi" w:hAnsiTheme="minorHAnsi"/>
          <w:color w:val="000000"/>
          <w:sz w:val="22"/>
          <w:szCs w:val="22"/>
        </w:rPr>
        <w:t>will be retained for as long as an investigation</w:t>
      </w:r>
      <w:r w:rsidR="00B468DC">
        <w:rPr>
          <w:rFonts w:asciiTheme="minorHAnsi" w:hAnsiTheme="minorHAnsi"/>
          <w:color w:val="000000"/>
          <w:sz w:val="22"/>
          <w:szCs w:val="22"/>
        </w:rPr>
        <w:t xml:space="preserve"> </w:t>
      </w:r>
      <w:r w:rsidR="00725FDB">
        <w:rPr>
          <w:rFonts w:asciiTheme="minorHAnsi" w:hAnsiTheme="minorHAnsi"/>
          <w:color w:val="000000"/>
          <w:sz w:val="22"/>
          <w:szCs w:val="22"/>
        </w:rPr>
        <w:t xml:space="preserve">or litigation exists. Record retention policies can do this by governing the careful </w:t>
      </w:r>
      <w:r w:rsidR="00FC5CCC">
        <w:rPr>
          <w:rFonts w:asciiTheme="minorHAnsi" w:hAnsiTheme="minorHAnsi"/>
          <w:color w:val="000000"/>
          <w:sz w:val="22"/>
          <w:szCs w:val="22"/>
        </w:rPr>
        <w:t>identification and storage of records</w:t>
      </w:r>
      <w:r w:rsidR="00725FDB">
        <w:rPr>
          <w:rFonts w:asciiTheme="minorHAnsi" w:hAnsiTheme="minorHAnsi"/>
          <w:color w:val="000000"/>
          <w:sz w:val="22"/>
          <w:szCs w:val="22"/>
        </w:rPr>
        <w:t xml:space="preserve"> at the CAA</w:t>
      </w:r>
      <w:r w:rsidR="00FC5CCC">
        <w:rPr>
          <w:rFonts w:asciiTheme="minorHAnsi" w:hAnsiTheme="minorHAnsi"/>
          <w:color w:val="000000"/>
          <w:sz w:val="22"/>
          <w:szCs w:val="22"/>
        </w:rPr>
        <w:t xml:space="preserve">, as well as the proper procedures for </w:t>
      </w:r>
      <w:r w:rsidR="00725FDB">
        <w:rPr>
          <w:rFonts w:asciiTheme="minorHAnsi" w:hAnsiTheme="minorHAnsi"/>
          <w:color w:val="000000"/>
          <w:sz w:val="22"/>
          <w:szCs w:val="22"/>
        </w:rPr>
        <w:t xml:space="preserve">determining when records are no longer needed and may be </w:t>
      </w:r>
      <w:r w:rsidR="00FC5CCC">
        <w:rPr>
          <w:rFonts w:asciiTheme="minorHAnsi" w:hAnsiTheme="minorHAnsi"/>
          <w:color w:val="000000"/>
          <w:sz w:val="22"/>
          <w:szCs w:val="22"/>
        </w:rPr>
        <w:t>destroy</w:t>
      </w:r>
      <w:r w:rsidR="00725FDB">
        <w:rPr>
          <w:rFonts w:asciiTheme="minorHAnsi" w:hAnsiTheme="minorHAnsi"/>
          <w:color w:val="000000"/>
          <w:sz w:val="22"/>
          <w:szCs w:val="22"/>
        </w:rPr>
        <w:t>ed</w:t>
      </w:r>
      <w:r w:rsidR="00FC5CCC">
        <w:rPr>
          <w:rFonts w:asciiTheme="minorHAnsi" w:hAnsiTheme="minorHAnsi"/>
          <w:color w:val="000000"/>
          <w:sz w:val="22"/>
          <w:szCs w:val="22"/>
        </w:rPr>
        <w:t>.</w:t>
      </w:r>
    </w:p>
    <w:p w14:paraId="0FF1286A" w14:textId="77777777" w:rsidR="00F94004" w:rsidRPr="00F94004" w:rsidRDefault="00F94004" w:rsidP="00F94004">
      <w:pPr>
        <w:pStyle w:val="ListParagraph"/>
        <w:rPr>
          <w:rFonts w:asciiTheme="minorHAnsi" w:hAnsiTheme="minorHAnsi"/>
          <w:color w:val="000000"/>
          <w:sz w:val="22"/>
          <w:szCs w:val="22"/>
        </w:rPr>
      </w:pPr>
    </w:p>
    <w:p w14:paraId="31A815E4" w14:textId="2A8ADA50" w:rsidR="00D05C60" w:rsidRPr="00D05C60" w:rsidRDefault="00F94004" w:rsidP="00B26A25">
      <w:pPr>
        <w:pStyle w:val="ListParagraph"/>
        <w:numPr>
          <w:ilvl w:val="0"/>
          <w:numId w:val="9"/>
        </w:numPr>
        <w:rPr>
          <w:rFonts w:asciiTheme="minorHAnsi" w:hAnsiTheme="minorHAnsi"/>
          <w:bCs/>
          <w:color w:val="000000"/>
          <w:sz w:val="22"/>
          <w:szCs w:val="22"/>
        </w:rPr>
      </w:pPr>
      <w:r w:rsidRPr="00F94004">
        <w:rPr>
          <w:rFonts w:asciiTheme="minorHAnsi" w:hAnsiTheme="minorHAnsi"/>
          <w:b/>
          <w:color w:val="000000"/>
          <w:sz w:val="22"/>
          <w:szCs w:val="22"/>
        </w:rPr>
        <w:t>Other Federal Laws</w:t>
      </w:r>
      <w:r>
        <w:rPr>
          <w:rFonts w:asciiTheme="minorHAnsi" w:hAnsiTheme="minorHAnsi"/>
          <w:color w:val="000000"/>
          <w:sz w:val="22"/>
          <w:szCs w:val="22"/>
        </w:rPr>
        <w:t xml:space="preserve">: </w:t>
      </w:r>
      <w:r w:rsidR="002D1290">
        <w:rPr>
          <w:rFonts w:asciiTheme="minorHAnsi" w:hAnsiTheme="minorHAnsi"/>
          <w:color w:val="000000"/>
          <w:sz w:val="22"/>
          <w:szCs w:val="22"/>
        </w:rPr>
        <w:t xml:space="preserve">Due to the nature </w:t>
      </w:r>
      <w:r w:rsidR="001A4707">
        <w:rPr>
          <w:rFonts w:asciiTheme="minorHAnsi" w:hAnsiTheme="minorHAnsi"/>
          <w:color w:val="000000"/>
          <w:sz w:val="22"/>
          <w:szCs w:val="22"/>
        </w:rPr>
        <w:t xml:space="preserve">of </w:t>
      </w:r>
      <w:r w:rsidR="002D1290">
        <w:rPr>
          <w:rFonts w:asciiTheme="minorHAnsi" w:hAnsiTheme="minorHAnsi"/>
          <w:color w:val="000000"/>
          <w:sz w:val="22"/>
          <w:szCs w:val="22"/>
        </w:rPr>
        <w:t xml:space="preserve">the work </w:t>
      </w:r>
      <w:r w:rsidR="008E09F5">
        <w:rPr>
          <w:rFonts w:asciiTheme="minorHAnsi" w:hAnsiTheme="minorHAnsi"/>
          <w:color w:val="000000"/>
          <w:sz w:val="22"/>
          <w:szCs w:val="22"/>
        </w:rPr>
        <w:t>CAAs</w:t>
      </w:r>
      <w:r w:rsidR="002D1290">
        <w:rPr>
          <w:rFonts w:asciiTheme="minorHAnsi" w:hAnsiTheme="minorHAnsi"/>
          <w:color w:val="000000"/>
          <w:sz w:val="22"/>
          <w:szCs w:val="22"/>
        </w:rPr>
        <w:t xml:space="preserve"> engage in, it is possible that a number of ot</w:t>
      </w:r>
      <w:r w:rsidR="000B0815">
        <w:rPr>
          <w:rFonts w:asciiTheme="minorHAnsi" w:hAnsiTheme="minorHAnsi"/>
          <w:color w:val="000000"/>
          <w:sz w:val="22"/>
          <w:szCs w:val="22"/>
        </w:rPr>
        <w:t xml:space="preserve">her federal laws and regulations may apply </w:t>
      </w:r>
      <w:r w:rsidR="002D1290">
        <w:rPr>
          <w:rFonts w:asciiTheme="minorHAnsi" w:hAnsiTheme="minorHAnsi"/>
          <w:color w:val="000000"/>
          <w:sz w:val="22"/>
          <w:szCs w:val="22"/>
        </w:rPr>
        <w:t xml:space="preserve">that contain </w:t>
      </w:r>
      <w:r w:rsidR="00B468DC">
        <w:rPr>
          <w:rFonts w:asciiTheme="minorHAnsi" w:hAnsiTheme="minorHAnsi"/>
          <w:color w:val="000000"/>
          <w:sz w:val="22"/>
          <w:szCs w:val="22"/>
        </w:rPr>
        <w:t xml:space="preserve">additional </w:t>
      </w:r>
      <w:r w:rsidR="002D1290">
        <w:rPr>
          <w:rFonts w:asciiTheme="minorHAnsi" w:hAnsiTheme="minorHAnsi"/>
          <w:color w:val="000000"/>
          <w:sz w:val="22"/>
          <w:szCs w:val="22"/>
        </w:rPr>
        <w:t xml:space="preserve">record retention requirements. For example, </w:t>
      </w:r>
      <w:r w:rsidR="00B468DC">
        <w:rPr>
          <w:rFonts w:asciiTheme="minorHAnsi" w:hAnsiTheme="minorHAnsi"/>
          <w:color w:val="000000"/>
          <w:sz w:val="22"/>
          <w:szCs w:val="22"/>
        </w:rPr>
        <w:t xml:space="preserve">federal funding source laws </w:t>
      </w:r>
      <w:r w:rsidRPr="00F94004">
        <w:rPr>
          <w:rFonts w:asciiTheme="minorHAnsi" w:hAnsiTheme="minorHAnsi"/>
          <w:color w:val="000000"/>
          <w:sz w:val="22"/>
          <w:szCs w:val="22"/>
        </w:rPr>
        <w:t>might have specific</w:t>
      </w:r>
      <w:r w:rsidR="00B415CD">
        <w:rPr>
          <w:rFonts w:asciiTheme="minorHAnsi" w:hAnsiTheme="minorHAnsi"/>
          <w:color w:val="000000"/>
          <w:sz w:val="22"/>
          <w:szCs w:val="22"/>
        </w:rPr>
        <w:t xml:space="preserve"> </w:t>
      </w:r>
      <w:r w:rsidRPr="00F94004">
        <w:rPr>
          <w:rFonts w:asciiTheme="minorHAnsi" w:hAnsiTheme="minorHAnsi"/>
          <w:color w:val="000000"/>
          <w:sz w:val="22"/>
          <w:szCs w:val="22"/>
        </w:rPr>
        <w:t xml:space="preserve">requirements </w:t>
      </w:r>
      <w:r w:rsidR="00B415CD">
        <w:rPr>
          <w:rFonts w:asciiTheme="minorHAnsi" w:hAnsiTheme="minorHAnsi"/>
          <w:color w:val="000000"/>
          <w:sz w:val="22"/>
          <w:szCs w:val="22"/>
        </w:rPr>
        <w:t>that go further than the Uniform Guidance</w:t>
      </w:r>
      <w:r w:rsidRPr="00F94004">
        <w:rPr>
          <w:rFonts w:asciiTheme="minorHAnsi" w:hAnsiTheme="minorHAnsi"/>
          <w:color w:val="000000"/>
          <w:sz w:val="22"/>
          <w:szCs w:val="22"/>
        </w:rPr>
        <w:t xml:space="preserve">. CAAs should </w:t>
      </w:r>
      <w:r w:rsidR="008E09F5">
        <w:rPr>
          <w:rFonts w:asciiTheme="minorHAnsi" w:hAnsiTheme="minorHAnsi"/>
          <w:color w:val="000000"/>
          <w:sz w:val="22"/>
          <w:szCs w:val="22"/>
        </w:rPr>
        <w:t xml:space="preserve">thus </w:t>
      </w:r>
      <w:r w:rsidRPr="00F94004">
        <w:rPr>
          <w:rFonts w:asciiTheme="minorHAnsi" w:hAnsiTheme="minorHAnsi"/>
          <w:color w:val="000000"/>
          <w:sz w:val="22"/>
          <w:szCs w:val="22"/>
        </w:rPr>
        <w:t xml:space="preserve">examine their grant agreements and determine if </w:t>
      </w:r>
      <w:r w:rsidR="00B468DC">
        <w:rPr>
          <w:rFonts w:asciiTheme="minorHAnsi" w:hAnsiTheme="minorHAnsi"/>
          <w:color w:val="000000"/>
          <w:sz w:val="22"/>
          <w:szCs w:val="22"/>
        </w:rPr>
        <w:t>other</w:t>
      </w:r>
      <w:r w:rsidR="00B468DC" w:rsidRPr="00F94004">
        <w:rPr>
          <w:rFonts w:asciiTheme="minorHAnsi" w:hAnsiTheme="minorHAnsi"/>
          <w:color w:val="000000"/>
          <w:sz w:val="22"/>
          <w:szCs w:val="22"/>
        </w:rPr>
        <w:t xml:space="preserve"> </w:t>
      </w:r>
      <w:r w:rsidR="00B415CD">
        <w:rPr>
          <w:rFonts w:asciiTheme="minorHAnsi" w:hAnsiTheme="minorHAnsi"/>
          <w:color w:val="000000"/>
          <w:sz w:val="22"/>
          <w:szCs w:val="22"/>
        </w:rPr>
        <w:t xml:space="preserve">such </w:t>
      </w:r>
      <w:r w:rsidRPr="00F94004">
        <w:rPr>
          <w:rFonts w:asciiTheme="minorHAnsi" w:hAnsiTheme="minorHAnsi"/>
          <w:color w:val="000000"/>
          <w:sz w:val="22"/>
          <w:szCs w:val="22"/>
        </w:rPr>
        <w:t>requirements apply.</w:t>
      </w:r>
      <w:r w:rsidR="00B26A25">
        <w:rPr>
          <w:rFonts w:asciiTheme="minorHAnsi" w:hAnsiTheme="minorHAnsi"/>
          <w:color w:val="000000"/>
          <w:sz w:val="22"/>
          <w:szCs w:val="22"/>
        </w:rPr>
        <w:t xml:space="preserve"> </w:t>
      </w:r>
    </w:p>
    <w:p w14:paraId="185CAC30" w14:textId="77777777" w:rsidR="00D05C60" w:rsidRPr="00D05C60" w:rsidRDefault="00D05C60" w:rsidP="00D05C60">
      <w:pPr>
        <w:rPr>
          <w:rFonts w:asciiTheme="minorHAnsi" w:hAnsiTheme="minorHAnsi"/>
          <w:bCs/>
          <w:color w:val="000000"/>
          <w:sz w:val="22"/>
          <w:szCs w:val="22"/>
        </w:rPr>
      </w:pPr>
    </w:p>
    <w:p w14:paraId="3646778B" w14:textId="77777777" w:rsidR="00F94004" w:rsidRPr="00D05C60" w:rsidRDefault="00B468DC" w:rsidP="00D05C60">
      <w:pPr>
        <w:pStyle w:val="ListParagraph"/>
        <w:rPr>
          <w:rFonts w:asciiTheme="minorHAnsi" w:hAnsiTheme="minorHAnsi"/>
          <w:bCs/>
          <w:color w:val="000000"/>
          <w:sz w:val="22"/>
          <w:szCs w:val="22"/>
        </w:rPr>
      </w:pPr>
      <w:r>
        <w:rPr>
          <w:rFonts w:asciiTheme="minorHAnsi" w:hAnsiTheme="minorHAnsi"/>
          <w:color w:val="000000"/>
          <w:sz w:val="22"/>
          <w:szCs w:val="22"/>
        </w:rPr>
        <w:t xml:space="preserve">Another example includes </w:t>
      </w:r>
      <w:r w:rsidR="00B415CD">
        <w:rPr>
          <w:rFonts w:asciiTheme="minorHAnsi" w:hAnsiTheme="minorHAnsi"/>
          <w:color w:val="000000"/>
          <w:sz w:val="22"/>
          <w:szCs w:val="22"/>
        </w:rPr>
        <w:t xml:space="preserve">federal </w:t>
      </w:r>
      <w:r>
        <w:rPr>
          <w:rFonts w:asciiTheme="minorHAnsi" w:hAnsiTheme="minorHAnsi"/>
          <w:color w:val="000000"/>
          <w:sz w:val="22"/>
          <w:szCs w:val="22"/>
        </w:rPr>
        <w:t xml:space="preserve">laws that apply to </w:t>
      </w:r>
      <w:r w:rsidR="00B415CD">
        <w:rPr>
          <w:rFonts w:asciiTheme="minorHAnsi" w:hAnsiTheme="minorHAnsi"/>
          <w:color w:val="000000"/>
          <w:sz w:val="22"/>
          <w:szCs w:val="22"/>
        </w:rPr>
        <w:t>most</w:t>
      </w:r>
      <w:r w:rsidR="002D1290">
        <w:rPr>
          <w:rFonts w:asciiTheme="minorHAnsi" w:hAnsiTheme="minorHAnsi"/>
          <w:color w:val="000000"/>
          <w:sz w:val="22"/>
          <w:szCs w:val="22"/>
        </w:rPr>
        <w:t xml:space="preserve"> employers</w:t>
      </w:r>
      <w:r w:rsidR="00B415CD">
        <w:rPr>
          <w:rFonts w:asciiTheme="minorHAnsi" w:hAnsiTheme="minorHAnsi"/>
          <w:color w:val="000000"/>
          <w:sz w:val="22"/>
          <w:szCs w:val="22"/>
        </w:rPr>
        <w:t xml:space="preserve"> such as t</w:t>
      </w:r>
      <w:r>
        <w:rPr>
          <w:rFonts w:asciiTheme="minorHAnsi" w:hAnsiTheme="minorHAnsi"/>
          <w:color w:val="000000"/>
          <w:sz w:val="22"/>
          <w:szCs w:val="22"/>
        </w:rPr>
        <w:t>he</w:t>
      </w:r>
      <w:r w:rsidR="002D1290">
        <w:rPr>
          <w:rFonts w:asciiTheme="minorHAnsi" w:hAnsiTheme="minorHAnsi"/>
          <w:color w:val="000000"/>
          <w:sz w:val="22"/>
          <w:szCs w:val="22"/>
        </w:rPr>
        <w:t xml:space="preserve"> </w:t>
      </w:r>
      <w:r w:rsidR="00B26A25">
        <w:rPr>
          <w:rFonts w:asciiTheme="minorHAnsi" w:hAnsiTheme="minorHAnsi"/>
          <w:color w:val="000000"/>
          <w:sz w:val="22"/>
          <w:szCs w:val="22"/>
        </w:rPr>
        <w:t>Fair Labor Standards Act (FLSA)</w:t>
      </w:r>
      <w:r w:rsidR="00B415CD">
        <w:rPr>
          <w:rFonts w:asciiTheme="minorHAnsi" w:hAnsiTheme="minorHAnsi"/>
          <w:color w:val="000000"/>
          <w:sz w:val="22"/>
          <w:szCs w:val="22"/>
        </w:rPr>
        <w:t xml:space="preserve"> and the Family and Medical Leave Act (FMLA). The FLSA</w:t>
      </w:r>
      <w:r w:rsidR="00B26A25">
        <w:rPr>
          <w:rFonts w:asciiTheme="minorHAnsi" w:hAnsiTheme="minorHAnsi"/>
          <w:color w:val="000000"/>
          <w:sz w:val="22"/>
          <w:szCs w:val="22"/>
        </w:rPr>
        <w:t xml:space="preserve"> requires covered employers to keep various records for non-exempt workers, such as payroll records for at least </w:t>
      </w:r>
      <w:r w:rsidR="009779D0">
        <w:rPr>
          <w:rFonts w:asciiTheme="minorHAnsi" w:hAnsiTheme="minorHAnsi"/>
          <w:color w:val="000000"/>
          <w:sz w:val="22"/>
          <w:szCs w:val="22"/>
        </w:rPr>
        <w:t xml:space="preserve">3 </w:t>
      </w:r>
      <w:r w:rsidR="00B26A25">
        <w:rPr>
          <w:rFonts w:asciiTheme="minorHAnsi" w:hAnsiTheme="minorHAnsi"/>
          <w:color w:val="000000"/>
          <w:sz w:val="22"/>
          <w:szCs w:val="22"/>
        </w:rPr>
        <w:t xml:space="preserve">years. Other records, such as time cards and wage rate tables, must be kept for at least </w:t>
      </w:r>
      <w:r w:rsidR="009779D0">
        <w:rPr>
          <w:rFonts w:asciiTheme="minorHAnsi" w:hAnsiTheme="minorHAnsi"/>
          <w:color w:val="000000"/>
          <w:sz w:val="22"/>
          <w:szCs w:val="22"/>
        </w:rPr>
        <w:t>2 years</w:t>
      </w:r>
      <w:r w:rsidR="00B26A25">
        <w:rPr>
          <w:rFonts w:asciiTheme="minorHAnsi" w:hAnsiTheme="minorHAnsi"/>
          <w:color w:val="000000"/>
          <w:sz w:val="22"/>
          <w:szCs w:val="22"/>
        </w:rPr>
        <w:t xml:space="preserve">. More information on these requirements can be found in the Department of </w:t>
      </w:r>
      <w:hyperlink r:id="rId16" w:history="1">
        <w:r w:rsidR="00B26A25" w:rsidRPr="00B26A25">
          <w:rPr>
            <w:rStyle w:val="Hyperlink"/>
            <w:rFonts w:asciiTheme="minorHAnsi" w:hAnsiTheme="minorHAnsi"/>
            <w:sz w:val="22"/>
            <w:szCs w:val="22"/>
          </w:rPr>
          <w:t xml:space="preserve">Labor’s </w:t>
        </w:r>
        <w:r w:rsidR="00B26A25" w:rsidRPr="00B26A25">
          <w:rPr>
            <w:rStyle w:val="Hyperlink"/>
            <w:rFonts w:asciiTheme="minorHAnsi" w:hAnsiTheme="minorHAnsi"/>
            <w:bCs/>
            <w:sz w:val="22"/>
            <w:szCs w:val="22"/>
          </w:rPr>
          <w:t>Fact Sheet #21: Recordkeeping Requirements under the Fair Labor Standards Act (FLSA)</w:t>
        </w:r>
      </w:hyperlink>
      <w:r w:rsidR="00B26A25">
        <w:rPr>
          <w:rFonts w:asciiTheme="minorHAnsi" w:hAnsiTheme="minorHAnsi"/>
          <w:color w:val="000000"/>
          <w:sz w:val="22"/>
          <w:szCs w:val="22"/>
        </w:rPr>
        <w:t xml:space="preserve">. The FMLA requires covered </w:t>
      </w:r>
      <w:r>
        <w:rPr>
          <w:rFonts w:asciiTheme="minorHAnsi" w:hAnsiTheme="minorHAnsi"/>
          <w:color w:val="000000"/>
          <w:sz w:val="22"/>
          <w:szCs w:val="22"/>
        </w:rPr>
        <w:t>employers to comply with FLSA’s record retention requirements</w:t>
      </w:r>
      <w:r w:rsidR="00B26A25">
        <w:rPr>
          <w:rFonts w:asciiTheme="minorHAnsi" w:hAnsiTheme="minorHAnsi"/>
          <w:color w:val="000000"/>
          <w:sz w:val="22"/>
          <w:szCs w:val="22"/>
        </w:rPr>
        <w:t xml:space="preserve">. </w:t>
      </w:r>
    </w:p>
    <w:p w14:paraId="4864DBA0" w14:textId="77777777" w:rsidR="00CF4E42" w:rsidRDefault="00CF4E42" w:rsidP="00A97813">
      <w:pPr>
        <w:rPr>
          <w:rFonts w:asciiTheme="minorHAnsi" w:hAnsiTheme="minorHAnsi"/>
          <w:color w:val="000000"/>
          <w:sz w:val="22"/>
          <w:szCs w:val="22"/>
          <w:u w:val="single"/>
        </w:rPr>
      </w:pPr>
    </w:p>
    <w:p w14:paraId="7D5E7361" w14:textId="77777777" w:rsidR="00391519" w:rsidRPr="002D1280" w:rsidRDefault="00391519" w:rsidP="004F7597">
      <w:pPr>
        <w:rPr>
          <w:rFonts w:asciiTheme="minorHAnsi" w:hAnsiTheme="minorHAnsi"/>
          <w:color w:val="000000"/>
          <w:sz w:val="22"/>
          <w:szCs w:val="22"/>
        </w:rPr>
      </w:pPr>
      <w:r w:rsidRPr="002D1280">
        <w:rPr>
          <w:rFonts w:asciiTheme="minorHAnsi" w:hAnsiTheme="minorHAnsi"/>
          <w:color w:val="000000"/>
          <w:sz w:val="22"/>
          <w:szCs w:val="22"/>
        </w:rPr>
        <w:br w:type="page"/>
      </w:r>
    </w:p>
    <w:p w14:paraId="2B7D4DBF" w14:textId="77777777" w:rsidR="0005046E" w:rsidRPr="002D1280" w:rsidRDefault="0005046E" w:rsidP="002127A6">
      <w:pPr>
        <w:autoSpaceDE w:val="0"/>
        <w:autoSpaceDN w:val="0"/>
        <w:adjustRightInd w:val="0"/>
        <w:rPr>
          <w:rFonts w:asciiTheme="minorHAnsi" w:hAnsiTheme="minorHAnsi"/>
          <w:b/>
          <w:i/>
          <w:color w:val="000000"/>
          <w:sz w:val="22"/>
          <w:szCs w:val="22"/>
        </w:rPr>
      </w:pPr>
    </w:p>
    <w:p w14:paraId="011C5575" w14:textId="77777777" w:rsidR="00A97813" w:rsidRPr="002D1280" w:rsidRDefault="003C38D2" w:rsidP="003C38D2">
      <w:pPr>
        <w:autoSpaceDE w:val="0"/>
        <w:autoSpaceDN w:val="0"/>
        <w:adjustRightInd w:val="0"/>
        <w:jc w:val="center"/>
        <w:rPr>
          <w:rFonts w:asciiTheme="minorHAnsi" w:hAnsiTheme="minorHAnsi"/>
          <w:b/>
          <w:color w:val="000000"/>
          <w:sz w:val="22"/>
          <w:szCs w:val="22"/>
        </w:rPr>
      </w:pPr>
      <w:r w:rsidRPr="002D1280">
        <w:rPr>
          <w:rFonts w:asciiTheme="minorHAnsi" w:hAnsiTheme="minorHAnsi"/>
          <w:b/>
          <w:color w:val="000000"/>
          <w:sz w:val="22"/>
          <w:szCs w:val="22"/>
        </w:rPr>
        <w:t>[</w:t>
      </w:r>
      <w:r w:rsidRPr="002D1280">
        <w:rPr>
          <w:rFonts w:asciiTheme="minorHAnsi" w:hAnsiTheme="minorHAnsi"/>
          <w:b/>
          <w:color w:val="000000"/>
          <w:sz w:val="22"/>
          <w:szCs w:val="22"/>
          <w:highlight w:val="yellow"/>
        </w:rPr>
        <w:t>Name of Community Action Agency</w:t>
      </w:r>
      <w:r w:rsidRPr="002D1280">
        <w:rPr>
          <w:rFonts w:asciiTheme="minorHAnsi" w:hAnsiTheme="minorHAnsi"/>
          <w:b/>
          <w:color w:val="000000"/>
          <w:sz w:val="22"/>
          <w:szCs w:val="22"/>
        </w:rPr>
        <w:t>]</w:t>
      </w:r>
    </w:p>
    <w:p w14:paraId="37071E67" w14:textId="77777777" w:rsidR="003C38D2" w:rsidRPr="002D1280" w:rsidRDefault="003C38D2" w:rsidP="003C38D2">
      <w:pPr>
        <w:autoSpaceDE w:val="0"/>
        <w:autoSpaceDN w:val="0"/>
        <w:adjustRightInd w:val="0"/>
        <w:jc w:val="center"/>
        <w:rPr>
          <w:rFonts w:asciiTheme="minorHAnsi" w:hAnsiTheme="minorHAnsi"/>
          <w:b/>
          <w:color w:val="000000"/>
          <w:sz w:val="22"/>
          <w:szCs w:val="22"/>
        </w:rPr>
      </w:pPr>
      <w:r w:rsidRPr="002D1280">
        <w:rPr>
          <w:rFonts w:asciiTheme="minorHAnsi" w:hAnsiTheme="minorHAnsi"/>
          <w:b/>
          <w:color w:val="000000"/>
          <w:sz w:val="22"/>
          <w:szCs w:val="22"/>
        </w:rPr>
        <w:t>Record Retention and Destruction Policy</w:t>
      </w:r>
    </w:p>
    <w:p w14:paraId="27263867" w14:textId="77777777" w:rsidR="003C38D2" w:rsidRPr="002D1280" w:rsidRDefault="003C38D2" w:rsidP="003C38D2">
      <w:pPr>
        <w:autoSpaceDE w:val="0"/>
        <w:autoSpaceDN w:val="0"/>
        <w:adjustRightInd w:val="0"/>
        <w:rPr>
          <w:rFonts w:asciiTheme="minorHAnsi" w:hAnsiTheme="minorHAnsi"/>
          <w:b/>
          <w:color w:val="000000"/>
          <w:sz w:val="22"/>
          <w:szCs w:val="22"/>
        </w:rPr>
      </w:pPr>
    </w:p>
    <w:p w14:paraId="004E8457" w14:textId="77777777" w:rsidR="00A97813" w:rsidRPr="002D1280" w:rsidRDefault="00A97813" w:rsidP="002127A6">
      <w:pPr>
        <w:autoSpaceDE w:val="0"/>
        <w:autoSpaceDN w:val="0"/>
        <w:adjustRightInd w:val="0"/>
        <w:rPr>
          <w:rFonts w:asciiTheme="minorHAnsi" w:hAnsiTheme="minorHAnsi"/>
          <w:b/>
          <w:i/>
          <w:color w:val="000000"/>
          <w:sz w:val="22"/>
          <w:szCs w:val="22"/>
        </w:rPr>
      </w:pPr>
    </w:p>
    <w:p w14:paraId="5F37A491" w14:textId="2F3E979C" w:rsidR="000816F9" w:rsidRPr="002D1280" w:rsidRDefault="008E236E" w:rsidP="00906A10">
      <w:pPr>
        <w:pStyle w:val="Default"/>
        <w:rPr>
          <w:rFonts w:asciiTheme="minorHAnsi" w:hAnsiTheme="minorHAnsi"/>
          <w:sz w:val="22"/>
          <w:szCs w:val="22"/>
        </w:rPr>
      </w:pPr>
      <w:r w:rsidRPr="002D1280">
        <w:rPr>
          <w:rFonts w:asciiTheme="minorHAnsi" w:hAnsiTheme="minorHAnsi"/>
          <w:b/>
          <w:bCs/>
          <w:i/>
          <w:sz w:val="22"/>
          <w:szCs w:val="22"/>
        </w:rPr>
        <w:t>Introduction and Purpose</w:t>
      </w:r>
      <w:r w:rsidR="00906A10" w:rsidRPr="002D1280">
        <w:rPr>
          <w:rFonts w:asciiTheme="minorHAnsi" w:hAnsiTheme="minorHAnsi"/>
          <w:bCs/>
          <w:sz w:val="22"/>
          <w:szCs w:val="22"/>
        </w:rPr>
        <w:t xml:space="preserve">. </w:t>
      </w:r>
      <w:r w:rsidR="00D004F4">
        <w:rPr>
          <w:rFonts w:asciiTheme="minorHAnsi" w:hAnsiTheme="minorHAnsi"/>
          <w:bCs/>
          <w:sz w:val="22"/>
          <w:szCs w:val="22"/>
        </w:rPr>
        <w:t xml:space="preserve">The purpose of this Record Retention and Destruction Policy (“Policy”) is to </w:t>
      </w:r>
      <w:r w:rsidR="00574753">
        <w:rPr>
          <w:rFonts w:asciiTheme="minorHAnsi" w:hAnsiTheme="minorHAnsi"/>
          <w:bCs/>
          <w:sz w:val="22"/>
          <w:szCs w:val="22"/>
        </w:rPr>
        <w:t>retain records necessary for [</w:t>
      </w:r>
      <w:r w:rsidR="00926372" w:rsidRPr="002D1280">
        <w:rPr>
          <w:rFonts w:asciiTheme="minorHAnsi" w:hAnsiTheme="minorHAnsi"/>
          <w:sz w:val="22"/>
          <w:szCs w:val="22"/>
          <w:highlight w:val="yellow"/>
        </w:rPr>
        <w:t>Organization Name</w:t>
      </w:r>
      <w:r w:rsidR="00926372" w:rsidRPr="002D1280">
        <w:rPr>
          <w:rFonts w:asciiTheme="minorHAnsi" w:hAnsiTheme="minorHAnsi"/>
          <w:sz w:val="22"/>
          <w:szCs w:val="22"/>
        </w:rPr>
        <w:t>]</w:t>
      </w:r>
      <w:r w:rsidR="004079AF" w:rsidRPr="002D1280">
        <w:rPr>
          <w:rFonts w:asciiTheme="minorHAnsi" w:hAnsiTheme="minorHAnsi"/>
          <w:sz w:val="22"/>
          <w:szCs w:val="22"/>
        </w:rPr>
        <w:t xml:space="preserve"> </w:t>
      </w:r>
      <w:r w:rsidRPr="002D1280">
        <w:rPr>
          <w:rFonts w:asciiTheme="minorHAnsi" w:hAnsiTheme="minorHAnsi"/>
          <w:sz w:val="22"/>
          <w:szCs w:val="22"/>
        </w:rPr>
        <w:t xml:space="preserve">(“CAA”) </w:t>
      </w:r>
      <w:r w:rsidR="00574753">
        <w:rPr>
          <w:rFonts w:asciiTheme="minorHAnsi" w:hAnsiTheme="minorHAnsi"/>
          <w:sz w:val="22"/>
          <w:szCs w:val="22"/>
        </w:rPr>
        <w:t xml:space="preserve">to facilitate efficient and effective operations and </w:t>
      </w:r>
      <w:r w:rsidR="00D004F4">
        <w:rPr>
          <w:rFonts w:asciiTheme="minorHAnsi" w:hAnsiTheme="minorHAnsi"/>
          <w:sz w:val="22"/>
          <w:szCs w:val="22"/>
        </w:rPr>
        <w:t>compl</w:t>
      </w:r>
      <w:r w:rsidR="00F95290">
        <w:rPr>
          <w:rFonts w:asciiTheme="minorHAnsi" w:hAnsiTheme="minorHAnsi"/>
          <w:sz w:val="22"/>
          <w:szCs w:val="22"/>
        </w:rPr>
        <w:t>y with legal requirements</w:t>
      </w:r>
      <w:r w:rsidR="00574753">
        <w:rPr>
          <w:rFonts w:asciiTheme="minorHAnsi" w:hAnsiTheme="minorHAnsi"/>
          <w:sz w:val="22"/>
          <w:szCs w:val="22"/>
        </w:rPr>
        <w:t xml:space="preserve">. Records </w:t>
      </w:r>
      <w:r w:rsidR="00D004F4">
        <w:rPr>
          <w:rFonts w:asciiTheme="minorHAnsi" w:hAnsiTheme="minorHAnsi"/>
          <w:sz w:val="22"/>
          <w:szCs w:val="22"/>
        </w:rPr>
        <w:t>will be retained for a</w:t>
      </w:r>
      <w:r w:rsidR="00574753">
        <w:rPr>
          <w:rFonts w:asciiTheme="minorHAnsi" w:hAnsiTheme="minorHAnsi"/>
          <w:sz w:val="22"/>
          <w:szCs w:val="22"/>
        </w:rPr>
        <w:t xml:space="preserve"> </w:t>
      </w:r>
      <w:r w:rsidR="00D004F4">
        <w:rPr>
          <w:rFonts w:asciiTheme="minorHAnsi" w:hAnsiTheme="minorHAnsi"/>
          <w:sz w:val="22"/>
          <w:szCs w:val="22"/>
        </w:rPr>
        <w:t xml:space="preserve">period of time </w:t>
      </w:r>
      <w:r w:rsidR="00574753">
        <w:rPr>
          <w:rFonts w:asciiTheme="minorHAnsi" w:hAnsiTheme="minorHAnsi"/>
          <w:sz w:val="22"/>
          <w:szCs w:val="22"/>
        </w:rPr>
        <w:t xml:space="preserve">as needed, but no </w:t>
      </w:r>
      <w:r w:rsidR="00D004F4">
        <w:rPr>
          <w:rFonts w:asciiTheme="minorHAnsi" w:hAnsiTheme="minorHAnsi"/>
          <w:sz w:val="22"/>
          <w:szCs w:val="22"/>
        </w:rPr>
        <w:t xml:space="preserve">longer than reasonably necessary. CAA </w:t>
      </w:r>
      <w:r w:rsidRPr="002D1280">
        <w:rPr>
          <w:rFonts w:asciiTheme="minorHAnsi" w:hAnsiTheme="minorHAnsi"/>
          <w:sz w:val="22"/>
          <w:szCs w:val="22"/>
        </w:rPr>
        <w:t xml:space="preserve">adopted this Policy to comply with </w:t>
      </w:r>
      <w:r w:rsidR="00BA216A">
        <w:rPr>
          <w:rFonts w:asciiTheme="minorHAnsi" w:hAnsiTheme="minorHAnsi"/>
          <w:sz w:val="22"/>
          <w:szCs w:val="22"/>
        </w:rPr>
        <w:t>Record</w:t>
      </w:r>
      <w:r w:rsidRPr="002D1280">
        <w:rPr>
          <w:rFonts w:asciiTheme="minorHAnsi" w:hAnsiTheme="minorHAnsi"/>
          <w:sz w:val="22"/>
          <w:szCs w:val="22"/>
        </w:rPr>
        <w:t xml:space="preserve"> retention requirements of state and federal law, as well as applicable </w:t>
      </w:r>
      <w:r w:rsidR="004079AF" w:rsidRPr="002D1280">
        <w:rPr>
          <w:rFonts w:asciiTheme="minorHAnsi" w:hAnsiTheme="minorHAnsi"/>
          <w:sz w:val="22"/>
          <w:szCs w:val="22"/>
        </w:rPr>
        <w:t>grant/contract terms and conditions</w:t>
      </w:r>
      <w:r w:rsidRPr="002D1280">
        <w:rPr>
          <w:rFonts w:asciiTheme="minorHAnsi" w:hAnsiTheme="minorHAnsi"/>
          <w:sz w:val="22"/>
          <w:szCs w:val="22"/>
        </w:rPr>
        <w:t>.</w:t>
      </w:r>
      <w:r w:rsidR="004079AF" w:rsidRPr="002D1280">
        <w:rPr>
          <w:rFonts w:asciiTheme="minorHAnsi" w:hAnsiTheme="minorHAnsi"/>
          <w:sz w:val="22"/>
          <w:szCs w:val="22"/>
        </w:rPr>
        <w:t xml:space="preserve"> </w:t>
      </w:r>
      <w:r w:rsidR="000816F9" w:rsidRPr="002D1280">
        <w:rPr>
          <w:rFonts w:asciiTheme="minorHAnsi" w:hAnsiTheme="minorHAnsi"/>
          <w:sz w:val="22"/>
          <w:szCs w:val="22"/>
        </w:rPr>
        <w:t xml:space="preserve"> </w:t>
      </w:r>
    </w:p>
    <w:p w14:paraId="74B139E6" w14:textId="77777777" w:rsidR="000816F9" w:rsidRDefault="000816F9" w:rsidP="00906A10">
      <w:pPr>
        <w:pStyle w:val="Default"/>
        <w:rPr>
          <w:rFonts w:asciiTheme="minorHAnsi" w:hAnsiTheme="minorHAnsi"/>
          <w:sz w:val="22"/>
          <w:szCs w:val="22"/>
        </w:rPr>
      </w:pPr>
    </w:p>
    <w:p w14:paraId="7AF913BF" w14:textId="72E7B38F" w:rsidR="000C6BEF" w:rsidRDefault="000C6BEF" w:rsidP="00906A10">
      <w:pPr>
        <w:pStyle w:val="Default"/>
        <w:rPr>
          <w:rFonts w:asciiTheme="minorHAnsi" w:hAnsiTheme="minorHAnsi"/>
          <w:sz w:val="22"/>
          <w:szCs w:val="22"/>
        </w:rPr>
      </w:pPr>
      <w:r w:rsidRPr="00CA30FA">
        <w:rPr>
          <w:rFonts w:asciiTheme="minorHAnsi" w:hAnsiTheme="minorHAnsi"/>
          <w:b/>
          <w:i/>
          <w:sz w:val="22"/>
          <w:szCs w:val="22"/>
        </w:rPr>
        <w:t xml:space="preserve">Scope </w:t>
      </w:r>
      <w:r w:rsidR="007B0FA3">
        <w:rPr>
          <w:rFonts w:asciiTheme="minorHAnsi" w:hAnsiTheme="minorHAnsi"/>
          <w:b/>
          <w:i/>
          <w:sz w:val="22"/>
          <w:szCs w:val="22"/>
        </w:rPr>
        <w:t>of</w:t>
      </w:r>
      <w:r w:rsidR="00571A79">
        <w:rPr>
          <w:rFonts w:asciiTheme="minorHAnsi" w:hAnsiTheme="minorHAnsi"/>
          <w:b/>
          <w:i/>
          <w:sz w:val="22"/>
          <w:szCs w:val="22"/>
        </w:rPr>
        <w:t xml:space="preserve"> </w:t>
      </w:r>
      <w:r w:rsidRPr="00CA30FA">
        <w:rPr>
          <w:rFonts w:asciiTheme="minorHAnsi" w:hAnsiTheme="minorHAnsi"/>
          <w:b/>
          <w:i/>
          <w:sz w:val="22"/>
          <w:szCs w:val="22"/>
        </w:rPr>
        <w:t>Coverage</w:t>
      </w:r>
      <w:r w:rsidR="00D004F4">
        <w:rPr>
          <w:rFonts w:asciiTheme="minorHAnsi" w:hAnsiTheme="minorHAnsi"/>
          <w:sz w:val="22"/>
          <w:szCs w:val="22"/>
        </w:rPr>
        <w:t xml:space="preserve">. </w:t>
      </w:r>
      <w:r w:rsidR="00CB6136" w:rsidRPr="00CB6136">
        <w:rPr>
          <w:rFonts w:asciiTheme="minorHAnsi" w:hAnsiTheme="minorHAnsi"/>
          <w:sz w:val="22"/>
          <w:szCs w:val="22"/>
        </w:rPr>
        <w:t xml:space="preserve">All directors, officers, </w:t>
      </w:r>
      <w:r w:rsidR="00CB6136">
        <w:rPr>
          <w:rFonts w:asciiTheme="minorHAnsi" w:hAnsiTheme="minorHAnsi"/>
          <w:sz w:val="22"/>
          <w:szCs w:val="22"/>
        </w:rPr>
        <w:t>and employees</w:t>
      </w:r>
      <w:r w:rsidR="00CB6136" w:rsidRPr="00CB6136">
        <w:rPr>
          <w:rFonts w:asciiTheme="minorHAnsi" w:hAnsiTheme="minorHAnsi"/>
          <w:sz w:val="22"/>
          <w:szCs w:val="22"/>
        </w:rPr>
        <w:t xml:space="preserve"> shall manage, protect, and maintain all Records in accordance with th</w:t>
      </w:r>
      <w:r w:rsidR="00CB6136">
        <w:rPr>
          <w:rFonts w:asciiTheme="minorHAnsi" w:hAnsiTheme="minorHAnsi"/>
          <w:sz w:val="22"/>
          <w:szCs w:val="22"/>
        </w:rPr>
        <w:t xml:space="preserve">is Policy. </w:t>
      </w:r>
      <w:r w:rsidR="00D004F4">
        <w:rPr>
          <w:rFonts w:asciiTheme="minorHAnsi" w:hAnsiTheme="minorHAnsi"/>
          <w:sz w:val="22"/>
          <w:szCs w:val="22"/>
        </w:rPr>
        <w:t xml:space="preserve">“Records” as used in this Policy means all documents, files, or records </w:t>
      </w:r>
      <w:r w:rsidR="007B0FA3">
        <w:rPr>
          <w:rFonts w:asciiTheme="minorHAnsi" w:hAnsiTheme="minorHAnsi"/>
          <w:sz w:val="22"/>
          <w:szCs w:val="22"/>
        </w:rPr>
        <w:t xml:space="preserve">pertaining to CAA which are </w:t>
      </w:r>
      <w:r w:rsidR="00D004F4">
        <w:rPr>
          <w:rFonts w:asciiTheme="minorHAnsi" w:hAnsiTheme="minorHAnsi"/>
          <w:sz w:val="22"/>
          <w:szCs w:val="22"/>
        </w:rPr>
        <w:t xml:space="preserve">created </w:t>
      </w:r>
      <w:r w:rsidR="00CA30FA">
        <w:rPr>
          <w:rFonts w:asciiTheme="minorHAnsi" w:hAnsiTheme="minorHAnsi"/>
          <w:sz w:val="22"/>
          <w:szCs w:val="22"/>
        </w:rPr>
        <w:t xml:space="preserve">or </w:t>
      </w:r>
      <w:r w:rsidR="007B0FA3">
        <w:rPr>
          <w:rFonts w:asciiTheme="minorHAnsi" w:hAnsiTheme="minorHAnsi"/>
          <w:sz w:val="22"/>
          <w:szCs w:val="22"/>
        </w:rPr>
        <w:t xml:space="preserve">held </w:t>
      </w:r>
      <w:r w:rsidR="00D004F4">
        <w:rPr>
          <w:rFonts w:asciiTheme="minorHAnsi" w:hAnsiTheme="minorHAnsi"/>
          <w:sz w:val="22"/>
          <w:szCs w:val="22"/>
        </w:rPr>
        <w:t>by any CAA employee, o</w:t>
      </w:r>
      <w:r w:rsidR="00CA30FA">
        <w:rPr>
          <w:rFonts w:asciiTheme="minorHAnsi" w:hAnsiTheme="minorHAnsi"/>
          <w:sz w:val="22"/>
          <w:szCs w:val="22"/>
        </w:rPr>
        <w:t>fficer</w:t>
      </w:r>
      <w:r w:rsidR="007B0FA3">
        <w:rPr>
          <w:rFonts w:asciiTheme="minorHAnsi" w:hAnsiTheme="minorHAnsi"/>
          <w:sz w:val="22"/>
          <w:szCs w:val="22"/>
        </w:rPr>
        <w:t xml:space="preserve"> or</w:t>
      </w:r>
      <w:r w:rsidR="00CA30FA">
        <w:rPr>
          <w:rFonts w:asciiTheme="minorHAnsi" w:hAnsiTheme="minorHAnsi"/>
          <w:sz w:val="22"/>
          <w:szCs w:val="22"/>
        </w:rPr>
        <w:t xml:space="preserve"> director</w:t>
      </w:r>
      <w:r w:rsidR="00F95290">
        <w:rPr>
          <w:rFonts w:asciiTheme="minorHAnsi" w:hAnsiTheme="minorHAnsi"/>
          <w:sz w:val="22"/>
          <w:szCs w:val="22"/>
        </w:rPr>
        <w:t xml:space="preserve"> </w:t>
      </w:r>
      <w:r w:rsidR="00CA30FA">
        <w:rPr>
          <w:rFonts w:asciiTheme="minorHAnsi" w:hAnsiTheme="minorHAnsi"/>
          <w:sz w:val="22"/>
          <w:szCs w:val="22"/>
        </w:rPr>
        <w:t>acting within the course of his or her duties</w:t>
      </w:r>
      <w:r w:rsidR="007B0FA3">
        <w:rPr>
          <w:rFonts w:asciiTheme="minorHAnsi" w:hAnsiTheme="minorHAnsi"/>
          <w:sz w:val="22"/>
          <w:szCs w:val="22"/>
        </w:rPr>
        <w:t>. Records include,</w:t>
      </w:r>
      <w:r w:rsidR="00CA30FA">
        <w:rPr>
          <w:rFonts w:asciiTheme="minorHAnsi" w:hAnsiTheme="minorHAnsi"/>
          <w:sz w:val="22"/>
          <w:szCs w:val="22"/>
        </w:rPr>
        <w:t xml:space="preserve"> but </w:t>
      </w:r>
      <w:r w:rsidR="007B0FA3">
        <w:rPr>
          <w:rFonts w:asciiTheme="minorHAnsi" w:hAnsiTheme="minorHAnsi"/>
          <w:sz w:val="22"/>
          <w:szCs w:val="22"/>
        </w:rPr>
        <w:t xml:space="preserve">are </w:t>
      </w:r>
      <w:r w:rsidR="00CA30FA">
        <w:rPr>
          <w:rFonts w:asciiTheme="minorHAnsi" w:hAnsiTheme="minorHAnsi"/>
          <w:sz w:val="22"/>
          <w:szCs w:val="22"/>
        </w:rPr>
        <w:t>not limited to</w:t>
      </w:r>
      <w:r w:rsidR="007B0FA3">
        <w:rPr>
          <w:rFonts w:asciiTheme="minorHAnsi" w:hAnsiTheme="minorHAnsi"/>
          <w:sz w:val="22"/>
          <w:szCs w:val="22"/>
        </w:rPr>
        <w:t>,</w:t>
      </w:r>
      <w:r w:rsidR="00CA30FA">
        <w:rPr>
          <w:rFonts w:asciiTheme="minorHAnsi" w:hAnsiTheme="minorHAnsi"/>
          <w:sz w:val="22"/>
          <w:szCs w:val="22"/>
        </w:rPr>
        <w:t xml:space="preserve"> electronic </w:t>
      </w:r>
      <w:r w:rsidR="00BA216A">
        <w:rPr>
          <w:rFonts w:asciiTheme="minorHAnsi" w:hAnsiTheme="minorHAnsi"/>
          <w:sz w:val="22"/>
          <w:szCs w:val="22"/>
        </w:rPr>
        <w:t>Records</w:t>
      </w:r>
      <w:r w:rsidR="00CA30FA">
        <w:rPr>
          <w:rFonts w:asciiTheme="minorHAnsi" w:hAnsiTheme="minorHAnsi"/>
          <w:sz w:val="22"/>
          <w:szCs w:val="22"/>
        </w:rPr>
        <w:t>, e-mail, voicemail messages, paper documents</w:t>
      </w:r>
      <w:r w:rsidR="00F95290">
        <w:rPr>
          <w:rFonts w:asciiTheme="minorHAnsi" w:hAnsiTheme="minorHAnsi"/>
          <w:sz w:val="22"/>
          <w:szCs w:val="22"/>
        </w:rPr>
        <w:t xml:space="preserve"> and forms</w:t>
      </w:r>
      <w:r w:rsidR="00CA30FA">
        <w:rPr>
          <w:rFonts w:asciiTheme="minorHAnsi" w:hAnsiTheme="minorHAnsi"/>
          <w:sz w:val="22"/>
          <w:szCs w:val="22"/>
        </w:rPr>
        <w:t xml:space="preserve">, photographs, photocopies, facsimiles, or scans. </w:t>
      </w:r>
    </w:p>
    <w:p w14:paraId="0E39307B" w14:textId="37B973AA" w:rsidR="000C6BEF" w:rsidRDefault="000C6BEF" w:rsidP="00906A10">
      <w:pPr>
        <w:pStyle w:val="Default"/>
        <w:rPr>
          <w:rFonts w:asciiTheme="minorHAnsi" w:hAnsiTheme="minorHAnsi"/>
          <w:sz w:val="22"/>
          <w:szCs w:val="22"/>
        </w:rPr>
      </w:pPr>
    </w:p>
    <w:p w14:paraId="3A360693" w14:textId="77777777" w:rsidR="00B45F82" w:rsidRPr="002D1280" w:rsidRDefault="000C6BEF" w:rsidP="00B45F82">
      <w:pPr>
        <w:pStyle w:val="Default"/>
        <w:rPr>
          <w:rFonts w:asciiTheme="minorHAnsi" w:hAnsiTheme="minorHAnsi"/>
          <w:b/>
          <w:bCs/>
          <w:sz w:val="22"/>
          <w:szCs w:val="22"/>
        </w:rPr>
      </w:pPr>
      <w:r w:rsidRPr="002D1280">
        <w:rPr>
          <w:rFonts w:asciiTheme="minorHAnsi" w:hAnsiTheme="minorHAnsi"/>
          <w:b/>
          <w:bCs/>
          <w:i/>
          <w:sz w:val="22"/>
          <w:szCs w:val="22"/>
        </w:rPr>
        <w:t>Retention Operational Guidelines</w:t>
      </w:r>
      <w:r w:rsidRPr="002D1280">
        <w:rPr>
          <w:rFonts w:asciiTheme="minorHAnsi" w:hAnsiTheme="minorHAnsi"/>
          <w:bCs/>
          <w:sz w:val="22"/>
          <w:szCs w:val="22"/>
        </w:rPr>
        <w:t>.</w:t>
      </w:r>
      <w:r w:rsidRPr="002D1280">
        <w:rPr>
          <w:rFonts w:asciiTheme="minorHAnsi" w:hAnsiTheme="minorHAnsi"/>
          <w:b/>
          <w:bCs/>
          <w:sz w:val="22"/>
          <w:szCs w:val="22"/>
        </w:rPr>
        <w:t xml:space="preserve"> </w:t>
      </w:r>
      <w:r w:rsidR="00B45F82" w:rsidRPr="002D1280">
        <w:rPr>
          <w:rFonts w:asciiTheme="minorHAnsi" w:hAnsiTheme="minorHAnsi"/>
          <w:color w:val="auto"/>
          <w:sz w:val="22"/>
          <w:szCs w:val="22"/>
        </w:rPr>
        <w:t>Records may be kept in electronic or hard copy form.</w:t>
      </w:r>
      <w:r w:rsidR="00B45F82" w:rsidRPr="002D1280">
        <w:rPr>
          <w:rStyle w:val="FootnoteReference"/>
          <w:rFonts w:asciiTheme="minorHAnsi" w:hAnsiTheme="minorHAnsi"/>
          <w:color w:val="auto"/>
          <w:sz w:val="22"/>
          <w:szCs w:val="22"/>
        </w:rPr>
        <w:footnoteReference w:id="1"/>
      </w:r>
      <w:r w:rsidR="00B45F82">
        <w:rPr>
          <w:rFonts w:asciiTheme="minorHAnsi" w:hAnsiTheme="minorHAnsi"/>
          <w:color w:val="auto"/>
          <w:sz w:val="22"/>
          <w:szCs w:val="22"/>
        </w:rPr>
        <w:t xml:space="preserve"> If R</w:t>
      </w:r>
      <w:r w:rsidR="00B45F82" w:rsidRPr="002D1280">
        <w:rPr>
          <w:rFonts w:asciiTheme="minorHAnsi" w:hAnsiTheme="minorHAnsi"/>
          <w:color w:val="auto"/>
          <w:sz w:val="22"/>
          <w:szCs w:val="22"/>
        </w:rPr>
        <w:t xml:space="preserve">ecords are kept in electronic form, the </w:t>
      </w:r>
      <w:r w:rsidR="00B45F82">
        <w:rPr>
          <w:rFonts w:asciiTheme="minorHAnsi" w:hAnsiTheme="minorHAnsi"/>
          <w:color w:val="auto"/>
          <w:sz w:val="22"/>
          <w:szCs w:val="22"/>
        </w:rPr>
        <w:t>[</w:t>
      </w:r>
      <w:r w:rsidR="00B45F82" w:rsidRPr="00DE000D">
        <w:rPr>
          <w:rFonts w:asciiTheme="minorHAnsi" w:hAnsiTheme="minorHAnsi"/>
          <w:color w:val="auto"/>
          <w:sz w:val="22"/>
          <w:szCs w:val="22"/>
          <w:highlight w:val="yellow"/>
        </w:rPr>
        <w:t>Information Technology department</w:t>
      </w:r>
      <w:r w:rsidR="00B45F82">
        <w:rPr>
          <w:rFonts w:asciiTheme="minorHAnsi" w:hAnsiTheme="minorHAnsi"/>
          <w:color w:val="auto"/>
          <w:sz w:val="22"/>
          <w:szCs w:val="22"/>
        </w:rPr>
        <w:t>]</w:t>
      </w:r>
      <w:r w:rsidR="00B45F82">
        <w:rPr>
          <w:rStyle w:val="FootnoteReference"/>
          <w:rFonts w:asciiTheme="minorHAnsi" w:hAnsiTheme="minorHAnsi"/>
          <w:color w:val="auto"/>
          <w:sz w:val="22"/>
          <w:szCs w:val="22"/>
        </w:rPr>
        <w:footnoteReference w:id="2"/>
      </w:r>
      <w:r w:rsidR="00B45F82">
        <w:rPr>
          <w:rFonts w:asciiTheme="minorHAnsi" w:hAnsiTheme="minorHAnsi"/>
          <w:color w:val="auto"/>
          <w:sz w:val="22"/>
          <w:szCs w:val="22"/>
        </w:rPr>
        <w:t xml:space="preserve"> shall ensure that R</w:t>
      </w:r>
      <w:r w:rsidR="00B45F82" w:rsidRPr="002D1280">
        <w:rPr>
          <w:rFonts w:asciiTheme="minorHAnsi" w:hAnsiTheme="minorHAnsi"/>
          <w:color w:val="auto"/>
          <w:sz w:val="22"/>
          <w:szCs w:val="22"/>
        </w:rPr>
        <w:t xml:space="preserve">ecords are securely stored and backed up, and that they remain accessible to authorized personnel as needed. </w:t>
      </w:r>
    </w:p>
    <w:p w14:paraId="3C075345" w14:textId="77777777" w:rsidR="00B45F82" w:rsidRDefault="00B45F82" w:rsidP="00906A10">
      <w:pPr>
        <w:pStyle w:val="Default"/>
        <w:rPr>
          <w:rFonts w:asciiTheme="minorHAnsi" w:hAnsiTheme="minorHAnsi"/>
          <w:sz w:val="22"/>
          <w:szCs w:val="22"/>
        </w:rPr>
      </w:pPr>
    </w:p>
    <w:p w14:paraId="4E071202" w14:textId="5F76F68B" w:rsidR="00CC56AD" w:rsidRPr="002D1280" w:rsidRDefault="004079AF" w:rsidP="00906A10">
      <w:pPr>
        <w:pStyle w:val="Default"/>
        <w:rPr>
          <w:rFonts w:asciiTheme="minorHAnsi" w:hAnsiTheme="minorHAnsi"/>
          <w:b/>
          <w:bCs/>
          <w:sz w:val="22"/>
          <w:szCs w:val="22"/>
        </w:rPr>
      </w:pPr>
      <w:r w:rsidRPr="002D1280">
        <w:rPr>
          <w:rFonts w:asciiTheme="minorHAnsi" w:hAnsiTheme="minorHAnsi"/>
          <w:sz w:val="22"/>
          <w:szCs w:val="22"/>
        </w:rPr>
        <w:t xml:space="preserve">Each </w:t>
      </w:r>
      <w:r w:rsidR="00253E1F" w:rsidRPr="002D1280">
        <w:rPr>
          <w:rFonts w:asciiTheme="minorHAnsi" w:hAnsiTheme="minorHAnsi"/>
          <w:sz w:val="22"/>
          <w:szCs w:val="22"/>
        </w:rPr>
        <w:t>[</w:t>
      </w:r>
      <w:r w:rsidRPr="002D1280">
        <w:rPr>
          <w:rFonts w:asciiTheme="minorHAnsi" w:hAnsiTheme="minorHAnsi"/>
          <w:sz w:val="22"/>
          <w:szCs w:val="22"/>
          <w:highlight w:val="yellow"/>
        </w:rPr>
        <w:t>pro</w:t>
      </w:r>
      <w:r w:rsidR="00253E1F" w:rsidRPr="002D1280">
        <w:rPr>
          <w:rFonts w:asciiTheme="minorHAnsi" w:hAnsiTheme="minorHAnsi"/>
          <w:sz w:val="22"/>
          <w:szCs w:val="22"/>
          <w:highlight w:val="yellow"/>
        </w:rPr>
        <w:t>gram</w:t>
      </w:r>
      <w:r w:rsidR="00745AF0" w:rsidRPr="002D1280">
        <w:rPr>
          <w:rFonts w:asciiTheme="minorHAnsi" w:hAnsiTheme="minorHAnsi"/>
          <w:sz w:val="22"/>
          <w:szCs w:val="22"/>
          <w:highlight w:val="yellow"/>
        </w:rPr>
        <w:t xml:space="preserve"> director</w:t>
      </w:r>
      <w:r w:rsidR="00253E1F" w:rsidRPr="002D1280">
        <w:rPr>
          <w:rFonts w:asciiTheme="minorHAnsi" w:hAnsiTheme="minorHAnsi"/>
          <w:sz w:val="22"/>
          <w:szCs w:val="22"/>
        </w:rPr>
        <w:t>]</w:t>
      </w:r>
      <w:r w:rsidR="00CC56AD" w:rsidRPr="002D1280">
        <w:rPr>
          <w:rStyle w:val="FootnoteReference"/>
          <w:rFonts w:asciiTheme="minorHAnsi" w:hAnsiTheme="minorHAnsi"/>
          <w:sz w:val="22"/>
          <w:szCs w:val="22"/>
        </w:rPr>
        <w:footnoteReference w:id="3"/>
      </w:r>
      <w:r w:rsidR="00CC56AD" w:rsidRPr="002D1280">
        <w:rPr>
          <w:rFonts w:asciiTheme="minorHAnsi" w:hAnsiTheme="minorHAnsi"/>
          <w:sz w:val="22"/>
          <w:szCs w:val="22"/>
        </w:rPr>
        <w:t xml:space="preserve"> is responsible for checking contract or grant requirements to ensure that </w:t>
      </w:r>
      <w:r w:rsidR="00BA216A">
        <w:rPr>
          <w:rFonts w:asciiTheme="minorHAnsi" w:hAnsiTheme="minorHAnsi"/>
          <w:sz w:val="22"/>
          <w:szCs w:val="22"/>
        </w:rPr>
        <w:t>the R</w:t>
      </w:r>
      <w:r w:rsidR="00CC56AD" w:rsidRPr="002D1280">
        <w:rPr>
          <w:rFonts w:asciiTheme="minorHAnsi" w:hAnsiTheme="minorHAnsi"/>
          <w:sz w:val="22"/>
          <w:szCs w:val="22"/>
        </w:rPr>
        <w:t>ecord retention requirements</w:t>
      </w:r>
      <w:r w:rsidR="00BA216A">
        <w:rPr>
          <w:rFonts w:asciiTheme="minorHAnsi" w:hAnsiTheme="minorHAnsi"/>
          <w:sz w:val="22"/>
          <w:szCs w:val="22"/>
        </w:rPr>
        <w:t xml:space="preserve"> of this Policy</w:t>
      </w:r>
      <w:r w:rsidR="00CC56AD" w:rsidRPr="002D1280">
        <w:rPr>
          <w:rFonts w:asciiTheme="minorHAnsi" w:hAnsiTheme="minorHAnsi"/>
          <w:sz w:val="22"/>
          <w:szCs w:val="22"/>
        </w:rPr>
        <w:t xml:space="preserve"> are met. Each [</w:t>
      </w:r>
      <w:r w:rsidR="00CC56AD" w:rsidRPr="002D1280">
        <w:rPr>
          <w:rFonts w:asciiTheme="minorHAnsi" w:hAnsiTheme="minorHAnsi"/>
          <w:sz w:val="22"/>
          <w:szCs w:val="22"/>
          <w:highlight w:val="yellow"/>
        </w:rPr>
        <w:t>program director</w:t>
      </w:r>
      <w:r w:rsidR="00CC56AD" w:rsidRPr="002D1280">
        <w:rPr>
          <w:rFonts w:asciiTheme="minorHAnsi" w:hAnsiTheme="minorHAnsi"/>
          <w:sz w:val="22"/>
          <w:szCs w:val="22"/>
        </w:rPr>
        <w:t>] is also responsible for ensuring that program procedur</w:t>
      </w:r>
      <w:r w:rsidR="002943DE">
        <w:rPr>
          <w:rFonts w:asciiTheme="minorHAnsi" w:hAnsiTheme="minorHAnsi"/>
          <w:sz w:val="22"/>
          <w:szCs w:val="22"/>
        </w:rPr>
        <w:t>es are in place to follow this P</w:t>
      </w:r>
      <w:r w:rsidR="00CC56AD" w:rsidRPr="002D1280">
        <w:rPr>
          <w:rFonts w:asciiTheme="minorHAnsi" w:hAnsiTheme="minorHAnsi"/>
          <w:sz w:val="22"/>
          <w:szCs w:val="22"/>
        </w:rPr>
        <w:t>olicy, including trainin</w:t>
      </w:r>
      <w:r w:rsidR="00BA216A">
        <w:rPr>
          <w:rFonts w:asciiTheme="minorHAnsi" w:hAnsiTheme="minorHAnsi"/>
          <w:sz w:val="22"/>
          <w:szCs w:val="22"/>
        </w:rPr>
        <w:t>g and regular monitoring. Once R</w:t>
      </w:r>
      <w:r w:rsidR="00CC56AD" w:rsidRPr="002D1280">
        <w:rPr>
          <w:rFonts w:asciiTheme="minorHAnsi" w:hAnsiTheme="minorHAnsi"/>
          <w:sz w:val="22"/>
          <w:szCs w:val="22"/>
        </w:rPr>
        <w:t>ecords are no longer needed, car</w:t>
      </w:r>
      <w:r w:rsidR="00BA216A">
        <w:rPr>
          <w:rFonts w:asciiTheme="minorHAnsi" w:hAnsiTheme="minorHAnsi"/>
          <w:sz w:val="22"/>
          <w:szCs w:val="22"/>
        </w:rPr>
        <w:t>e must be taken to ensure that R</w:t>
      </w:r>
      <w:r w:rsidR="00CC56AD" w:rsidRPr="002D1280">
        <w:rPr>
          <w:rFonts w:asciiTheme="minorHAnsi" w:hAnsiTheme="minorHAnsi"/>
          <w:sz w:val="22"/>
          <w:szCs w:val="22"/>
        </w:rPr>
        <w:t>ecords containing confidential information are shredded or otherwise disposed of to prevent the disclosure of confidential information. Questions about this Policy and the requirements contained herein should be directed to CAA’s [</w:t>
      </w:r>
      <w:r w:rsidR="00CC56AD" w:rsidRPr="002D1280">
        <w:rPr>
          <w:rFonts w:asciiTheme="minorHAnsi" w:hAnsiTheme="minorHAnsi"/>
          <w:sz w:val="22"/>
          <w:szCs w:val="22"/>
          <w:highlight w:val="yellow"/>
        </w:rPr>
        <w:t>chief operating officer</w:t>
      </w:r>
      <w:r w:rsidR="00CC56AD" w:rsidRPr="002D1280">
        <w:rPr>
          <w:rFonts w:asciiTheme="minorHAnsi" w:hAnsiTheme="minorHAnsi"/>
          <w:sz w:val="22"/>
          <w:szCs w:val="22"/>
        </w:rPr>
        <w:t>].</w:t>
      </w:r>
      <w:r w:rsidR="00CC56AD" w:rsidRPr="002D1280">
        <w:rPr>
          <w:rStyle w:val="FootnoteReference"/>
          <w:rFonts w:asciiTheme="minorHAnsi" w:hAnsiTheme="minorHAnsi"/>
          <w:sz w:val="22"/>
          <w:szCs w:val="22"/>
        </w:rPr>
        <w:footnoteReference w:id="4"/>
      </w:r>
    </w:p>
    <w:p w14:paraId="004AAE79" w14:textId="77777777" w:rsidR="00CC56AD" w:rsidRDefault="00CC56AD" w:rsidP="004D7265">
      <w:pPr>
        <w:autoSpaceDE w:val="0"/>
        <w:autoSpaceDN w:val="0"/>
        <w:adjustRightInd w:val="0"/>
        <w:rPr>
          <w:rFonts w:asciiTheme="minorHAnsi" w:hAnsiTheme="minorHAnsi"/>
          <w:b/>
          <w:bCs/>
          <w:sz w:val="22"/>
          <w:szCs w:val="22"/>
        </w:rPr>
      </w:pPr>
    </w:p>
    <w:p w14:paraId="28BE3F25" w14:textId="17795B84" w:rsidR="00462E77" w:rsidRDefault="00CC56AD" w:rsidP="009A03AC">
      <w:pPr>
        <w:pStyle w:val="Default"/>
        <w:rPr>
          <w:rFonts w:asciiTheme="minorHAnsi" w:hAnsiTheme="minorHAnsi"/>
          <w:bCs/>
          <w:sz w:val="22"/>
          <w:szCs w:val="22"/>
        </w:rPr>
      </w:pPr>
      <w:r w:rsidRPr="002D1280">
        <w:rPr>
          <w:rFonts w:asciiTheme="minorHAnsi" w:hAnsiTheme="minorHAnsi"/>
          <w:b/>
          <w:bCs/>
          <w:i/>
          <w:sz w:val="22"/>
          <w:szCs w:val="22"/>
        </w:rPr>
        <w:t>Record Retention Period</w:t>
      </w:r>
      <w:r w:rsidRPr="002D1280">
        <w:rPr>
          <w:rFonts w:asciiTheme="minorHAnsi" w:hAnsiTheme="minorHAnsi"/>
          <w:bCs/>
          <w:sz w:val="22"/>
          <w:szCs w:val="22"/>
        </w:rPr>
        <w:t xml:space="preserve">. </w:t>
      </w:r>
      <w:r w:rsidRPr="002D1280">
        <w:rPr>
          <w:rFonts w:asciiTheme="minorHAnsi" w:hAnsiTheme="minorHAnsi"/>
          <w:color w:val="auto"/>
          <w:sz w:val="22"/>
          <w:szCs w:val="22"/>
        </w:rPr>
        <w:t xml:space="preserve">The required periods of retention for different types of </w:t>
      </w:r>
      <w:r w:rsidR="00BA216A">
        <w:rPr>
          <w:rFonts w:asciiTheme="minorHAnsi" w:hAnsiTheme="minorHAnsi"/>
          <w:color w:val="auto"/>
          <w:sz w:val="22"/>
          <w:szCs w:val="22"/>
        </w:rPr>
        <w:t>R</w:t>
      </w:r>
      <w:r w:rsidRPr="002D1280">
        <w:rPr>
          <w:rFonts w:asciiTheme="minorHAnsi" w:hAnsiTheme="minorHAnsi"/>
          <w:color w:val="auto"/>
          <w:sz w:val="22"/>
          <w:szCs w:val="22"/>
        </w:rPr>
        <w:t xml:space="preserve">ecords are listed below. CAA may retain </w:t>
      </w:r>
      <w:r w:rsidR="00BA216A">
        <w:rPr>
          <w:rFonts w:asciiTheme="minorHAnsi" w:hAnsiTheme="minorHAnsi"/>
          <w:color w:val="auto"/>
          <w:sz w:val="22"/>
          <w:szCs w:val="22"/>
        </w:rPr>
        <w:t>R</w:t>
      </w:r>
      <w:r w:rsidRPr="002D1280">
        <w:rPr>
          <w:rFonts w:asciiTheme="minorHAnsi" w:hAnsiTheme="minorHAnsi"/>
          <w:color w:val="auto"/>
          <w:sz w:val="22"/>
          <w:szCs w:val="22"/>
        </w:rPr>
        <w:t xml:space="preserve">ecords for a longer period if necessary for the administration of the program and provided available storage space exists. </w:t>
      </w:r>
      <w:r w:rsidR="007F39D2">
        <w:rPr>
          <w:rFonts w:asciiTheme="minorHAnsi" w:hAnsiTheme="minorHAnsi"/>
          <w:bCs/>
          <w:sz w:val="22"/>
          <w:szCs w:val="22"/>
        </w:rPr>
        <w:t>CAA understands that different retention periods might apply to</w:t>
      </w:r>
      <w:r w:rsidR="00BA216A">
        <w:rPr>
          <w:rFonts w:asciiTheme="minorHAnsi" w:hAnsiTheme="minorHAnsi"/>
          <w:bCs/>
          <w:sz w:val="22"/>
          <w:szCs w:val="22"/>
        </w:rPr>
        <w:t xml:space="preserve"> the same R</w:t>
      </w:r>
      <w:r w:rsidR="007F39D2">
        <w:rPr>
          <w:rFonts w:asciiTheme="minorHAnsi" w:hAnsiTheme="minorHAnsi"/>
          <w:bCs/>
          <w:sz w:val="22"/>
          <w:szCs w:val="22"/>
        </w:rPr>
        <w:t>ecord</w:t>
      </w:r>
      <w:r w:rsidR="00462E77">
        <w:rPr>
          <w:rFonts w:asciiTheme="minorHAnsi" w:hAnsiTheme="minorHAnsi"/>
          <w:bCs/>
          <w:sz w:val="22"/>
          <w:szCs w:val="22"/>
        </w:rPr>
        <w:t xml:space="preserve"> and, in such inst</w:t>
      </w:r>
      <w:r w:rsidR="00BA216A">
        <w:rPr>
          <w:rFonts w:asciiTheme="minorHAnsi" w:hAnsiTheme="minorHAnsi"/>
          <w:bCs/>
          <w:sz w:val="22"/>
          <w:szCs w:val="22"/>
        </w:rPr>
        <w:t>ances, the CAA will retain the R</w:t>
      </w:r>
      <w:r w:rsidR="00462E77">
        <w:rPr>
          <w:rFonts w:asciiTheme="minorHAnsi" w:hAnsiTheme="minorHAnsi"/>
          <w:bCs/>
          <w:sz w:val="22"/>
          <w:szCs w:val="22"/>
        </w:rPr>
        <w:t>ecord for the longest applicable retention period</w:t>
      </w:r>
      <w:r w:rsidR="007F39D2">
        <w:rPr>
          <w:rFonts w:asciiTheme="minorHAnsi" w:hAnsiTheme="minorHAnsi"/>
          <w:bCs/>
          <w:sz w:val="22"/>
          <w:szCs w:val="22"/>
        </w:rPr>
        <w:t>.</w:t>
      </w:r>
      <w:r w:rsidR="00462E77">
        <w:rPr>
          <w:rStyle w:val="FootnoteReference"/>
          <w:rFonts w:asciiTheme="minorHAnsi" w:hAnsiTheme="minorHAnsi"/>
          <w:bCs/>
          <w:sz w:val="22"/>
          <w:szCs w:val="22"/>
        </w:rPr>
        <w:footnoteReference w:id="5"/>
      </w:r>
      <w:r w:rsidR="007F39D2">
        <w:rPr>
          <w:rFonts w:asciiTheme="minorHAnsi" w:hAnsiTheme="minorHAnsi"/>
          <w:bCs/>
          <w:sz w:val="22"/>
          <w:szCs w:val="22"/>
        </w:rPr>
        <w:t xml:space="preserve"> </w:t>
      </w:r>
      <w:r w:rsidR="00BA216A">
        <w:rPr>
          <w:rFonts w:asciiTheme="minorHAnsi" w:hAnsiTheme="minorHAnsi"/>
          <w:bCs/>
          <w:sz w:val="22"/>
          <w:szCs w:val="22"/>
        </w:rPr>
        <w:t>Generally, the R</w:t>
      </w:r>
      <w:r w:rsidR="00462E77">
        <w:rPr>
          <w:rFonts w:asciiTheme="minorHAnsi" w:hAnsiTheme="minorHAnsi"/>
          <w:bCs/>
          <w:sz w:val="22"/>
          <w:szCs w:val="22"/>
        </w:rPr>
        <w:t>ecord re</w:t>
      </w:r>
      <w:r w:rsidR="002943DE">
        <w:rPr>
          <w:rFonts w:asciiTheme="minorHAnsi" w:hAnsiTheme="minorHAnsi"/>
          <w:bCs/>
          <w:sz w:val="22"/>
          <w:szCs w:val="22"/>
        </w:rPr>
        <w:t>tention periods informing this P</w:t>
      </w:r>
      <w:r w:rsidR="00462E77">
        <w:rPr>
          <w:rFonts w:asciiTheme="minorHAnsi" w:hAnsiTheme="minorHAnsi"/>
          <w:bCs/>
          <w:sz w:val="22"/>
          <w:szCs w:val="22"/>
        </w:rPr>
        <w:t>olicy include those that apply to:</w:t>
      </w:r>
    </w:p>
    <w:p w14:paraId="258924EB" w14:textId="77777777" w:rsidR="009A03AC" w:rsidRPr="002D1280" w:rsidRDefault="009A03AC" w:rsidP="009A03AC">
      <w:pPr>
        <w:pStyle w:val="Default"/>
        <w:rPr>
          <w:rFonts w:asciiTheme="minorHAnsi" w:hAnsiTheme="minorHAnsi"/>
          <w:b/>
          <w:bCs/>
          <w:sz w:val="22"/>
          <w:szCs w:val="22"/>
        </w:rPr>
      </w:pPr>
    </w:p>
    <w:p w14:paraId="195A00DF" w14:textId="73391855" w:rsidR="00462E77" w:rsidRDefault="00462E77" w:rsidP="00837032">
      <w:pPr>
        <w:pStyle w:val="Default"/>
        <w:numPr>
          <w:ilvl w:val="0"/>
          <w:numId w:val="11"/>
        </w:numPr>
        <w:rPr>
          <w:rFonts w:asciiTheme="minorHAnsi" w:hAnsiTheme="minorHAnsi"/>
          <w:bCs/>
          <w:sz w:val="22"/>
          <w:szCs w:val="22"/>
        </w:rPr>
      </w:pPr>
      <w:r>
        <w:rPr>
          <w:rFonts w:asciiTheme="minorHAnsi" w:hAnsiTheme="minorHAnsi"/>
          <w:b/>
          <w:bCs/>
          <w:sz w:val="22"/>
          <w:szCs w:val="22"/>
        </w:rPr>
        <w:t>State funded projects</w:t>
      </w:r>
      <w:r w:rsidR="009A03AC" w:rsidRPr="002D1280">
        <w:rPr>
          <w:rFonts w:asciiTheme="minorHAnsi" w:hAnsiTheme="minorHAnsi"/>
          <w:b/>
          <w:bCs/>
          <w:sz w:val="22"/>
          <w:szCs w:val="22"/>
        </w:rPr>
        <w:t xml:space="preserve"> – </w:t>
      </w:r>
      <w:r w:rsidR="009A03AC" w:rsidRPr="00DE000D">
        <w:rPr>
          <w:rFonts w:asciiTheme="minorHAnsi" w:hAnsiTheme="minorHAnsi"/>
          <w:bCs/>
          <w:sz w:val="22"/>
          <w:szCs w:val="22"/>
        </w:rPr>
        <w:t>[</w:t>
      </w:r>
      <w:r w:rsidR="009A03AC" w:rsidRPr="002D1280">
        <w:rPr>
          <w:rFonts w:asciiTheme="minorHAnsi" w:hAnsiTheme="minorHAnsi"/>
          <w:bCs/>
          <w:sz w:val="22"/>
          <w:szCs w:val="22"/>
          <w:highlight w:val="yellow"/>
        </w:rPr>
        <w:t xml:space="preserve">Record retention period required by state law or grant/contract provisions for state grants or contracts, if any, plus </w:t>
      </w:r>
      <w:r w:rsidR="009779D0">
        <w:rPr>
          <w:rFonts w:asciiTheme="minorHAnsi" w:hAnsiTheme="minorHAnsi"/>
          <w:bCs/>
          <w:sz w:val="22"/>
          <w:szCs w:val="22"/>
          <w:highlight w:val="yellow"/>
        </w:rPr>
        <w:t>1</w:t>
      </w:r>
      <w:r w:rsidR="009779D0" w:rsidRPr="002D1280">
        <w:rPr>
          <w:rFonts w:asciiTheme="minorHAnsi" w:hAnsiTheme="minorHAnsi"/>
          <w:bCs/>
          <w:sz w:val="22"/>
          <w:szCs w:val="22"/>
          <w:highlight w:val="yellow"/>
        </w:rPr>
        <w:t xml:space="preserve"> </w:t>
      </w:r>
      <w:r w:rsidR="009A03AC" w:rsidRPr="002D1280">
        <w:rPr>
          <w:rFonts w:asciiTheme="minorHAnsi" w:hAnsiTheme="minorHAnsi"/>
          <w:bCs/>
          <w:sz w:val="22"/>
          <w:szCs w:val="22"/>
          <w:highlight w:val="yellow"/>
        </w:rPr>
        <w:t>year</w:t>
      </w:r>
      <w:r w:rsidR="009A03AC" w:rsidRPr="002D1280">
        <w:rPr>
          <w:rFonts w:asciiTheme="minorHAnsi" w:hAnsiTheme="minorHAnsi"/>
          <w:bCs/>
          <w:sz w:val="22"/>
          <w:szCs w:val="22"/>
        </w:rPr>
        <w:t>]. Records required to be kept in connection with a program funded by, or pursuant to a contract with, the state of [</w:t>
      </w:r>
      <w:r w:rsidR="009A03AC" w:rsidRPr="002D1280">
        <w:rPr>
          <w:rFonts w:asciiTheme="minorHAnsi" w:hAnsiTheme="minorHAnsi"/>
          <w:bCs/>
          <w:sz w:val="22"/>
          <w:szCs w:val="22"/>
          <w:highlight w:val="yellow"/>
        </w:rPr>
        <w:t>Name of State</w:t>
      </w:r>
      <w:r w:rsidR="009A03AC" w:rsidRPr="002D1280">
        <w:rPr>
          <w:rFonts w:asciiTheme="minorHAnsi" w:hAnsiTheme="minorHAnsi"/>
          <w:bCs/>
          <w:sz w:val="22"/>
          <w:szCs w:val="22"/>
        </w:rPr>
        <w:t>]</w:t>
      </w:r>
      <w:r w:rsidR="00BA216A">
        <w:rPr>
          <w:rFonts w:asciiTheme="minorHAnsi" w:hAnsiTheme="minorHAnsi"/>
          <w:bCs/>
          <w:sz w:val="22"/>
          <w:szCs w:val="22"/>
        </w:rPr>
        <w:t>, including client Records and other R</w:t>
      </w:r>
      <w:r w:rsidR="009A03AC" w:rsidRPr="002D1280">
        <w:rPr>
          <w:rFonts w:asciiTheme="minorHAnsi" w:hAnsiTheme="minorHAnsi"/>
          <w:bCs/>
          <w:sz w:val="22"/>
          <w:szCs w:val="22"/>
        </w:rPr>
        <w:t>ecords supporting CAA’s compliance with contract terms and conditions and costs charged to the contract (incl</w:t>
      </w:r>
      <w:r w:rsidR="00BA216A">
        <w:rPr>
          <w:rFonts w:asciiTheme="minorHAnsi" w:hAnsiTheme="minorHAnsi"/>
          <w:bCs/>
          <w:sz w:val="22"/>
          <w:szCs w:val="22"/>
        </w:rPr>
        <w:t>uding, for example, attendance R</w:t>
      </w:r>
      <w:r w:rsidR="009A03AC" w:rsidRPr="002D1280">
        <w:rPr>
          <w:rFonts w:asciiTheme="minorHAnsi" w:hAnsiTheme="minorHAnsi"/>
          <w:bCs/>
          <w:sz w:val="22"/>
          <w:szCs w:val="22"/>
        </w:rPr>
        <w:t>ecords) shall be kept for a period of [</w:t>
      </w:r>
      <w:r w:rsidRPr="00837032">
        <w:rPr>
          <w:rFonts w:asciiTheme="minorHAnsi" w:hAnsiTheme="minorHAnsi"/>
          <w:bCs/>
          <w:sz w:val="22"/>
          <w:szCs w:val="22"/>
          <w:highlight w:val="yellow"/>
        </w:rPr>
        <w:t>#</w:t>
      </w:r>
      <w:r w:rsidR="009A03AC" w:rsidRPr="002D1280">
        <w:rPr>
          <w:rFonts w:asciiTheme="minorHAnsi" w:hAnsiTheme="minorHAnsi"/>
          <w:bCs/>
          <w:sz w:val="22"/>
          <w:szCs w:val="22"/>
        </w:rPr>
        <w:t>]</w:t>
      </w:r>
      <w:r w:rsidR="009A03AC" w:rsidRPr="002D1280">
        <w:rPr>
          <w:rStyle w:val="FootnoteReference"/>
          <w:rFonts w:asciiTheme="minorHAnsi" w:hAnsiTheme="minorHAnsi"/>
          <w:bCs/>
          <w:sz w:val="22"/>
          <w:szCs w:val="22"/>
        </w:rPr>
        <w:footnoteReference w:id="6"/>
      </w:r>
      <w:r w:rsidR="009A03AC" w:rsidRPr="002D1280">
        <w:rPr>
          <w:rFonts w:asciiTheme="minorHAnsi" w:hAnsiTheme="minorHAnsi"/>
          <w:bCs/>
          <w:sz w:val="22"/>
          <w:szCs w:val="22"/>
        </w:rPr>
        <w:t xml:space="preserve"> years after termination of the con</w:t>
      </w:r>
      <w:r w:rsidR="00BA216A">
        <w:rPr>
          <w:rFonts w:asciiTheme="minorHAnsi" w:hAnsiTheme="minorHAnsi"/>
          <w:bCs/>
          <w:sz w:val="22"/>
          <w:szCs w:val="22"/>
        </w:rPr>
        <w:t>tract. Not all client R</w:t>
      </w:r>
      <w:r w:rsidR="009A03AC" w:rsidRPr="002D1280">
        <w:rPr>
          <w:rFonts w:asciiTheme="minorHAnsi" w:hAnsiTheme="minorHAnsi"/>
          <w:bCs/>
          <w:sz w:val="22"/>
          <w:szCs w:val="22"/>
        </w:rPr>
        <w:t xml:space="preserve">ecords need to be kept, but retained </w:t>
      </w:r>
      <w:r w:rsidR="00BA216A">
        <w:rPr>
          <w:rFonts w:asciiTheme="minorHAnsi" w:hAnsiTheme="minorHAnsi"/>
          <w:bCs/>
          <w:sz w:val="22"/>
          <w:szCs w:val="22"/>
        </w:rPr>
        <w:t>R</w:t>
      </w:r>
      <w:r w:rsidR="009A03AC" w:rsidRPr="002D1280">
        <w:rPr>
          <w:rFonts w:asciiTheme="minorHAnsi" w:hAnsiTheme="minorHAnsi"/>
          <w:bCs/>
          <w:sz w:val="22"/>
          <w:szCs w:val="22"/>
        </w:rPr>
        <w:t xml:space="preserve">ecords should include documentation of a client’s program eligibility and </w:t>
      </w:r>
      <w:r w:rsidR="00BA216A">
        <w:rPr>
          <w:rFonts w:asciiTheme="minorHAnsi" w:hAnsiTheme="minorHAnsi"/>
          <w:bCs/>
          <w:sz w:val="22"/>
          <w:szCs w:val="22"/>
        </w:rPr>
        <w:t xml:space="preserve">the </w:t>
      </w:r>
      <w:r w:rsidR="009A03AC" w:rsidRPr="002D1280">
        <w:rPr>
          <w:rFonts w:asciiTheme="minorHAnsi" w:hAnsiTheme="minorHAnsi"/>
          <w:bCs/>
          <w:sz w:val="22"/>
          <w:szCs w:val="22"/>
        </w:rPr>
        <w:t xml:space="preserve">nature of </w:t>
      </w:r>
      <w:r w:rsidR="00BA216A">
        <w:rPr>
          <w:rFonts w:asciiTheme="minorHAnsi" w:hAnsiTheme="minorHAnsi"/>
          <w:bCs/>
          <w:sz w:val="22"/>
          <w:szCs w:val="22"/>
        </w:rPr>
        <w:t xml:space="preserve">the </w:t>
      </w:r>
      <w:r w:rsidR="009A03AC" w:rsidRPr="002D1280">
        <w:rPr>
          <w:rFonts w:asciiTheme="minorHAnsi" w:hAnsiTheme="minorHAnsi"/>
          <w:bCs/>
          <w:sz w:val="22"/>
          <w:szCs w:val="22"/>
        </w:rPr>
        <w:t>service</w:t>
      </w:r>
      <w:r w:rsidR="00BA216A">
        <w:rPr>
          <w:rFonts w:asciiTheme="minorHAnsi" w:hAnsiTheme="minorHAnsi"/>
          <w:bCs/>
          <w:sz w:val="22"/>
          <w:szCs w:val="22"/>
        </w:rPr>
        <w:t>s</w:t>
      </w:r>
      <w:r w:rsidR="009A03AC" w:rsidRPr="002D1280">
        <w:rPr>
          <w:rFonts w:asciiTheme="minorHAnsi" w:hAnsiTheme="minorHAnsi"/>
          <w:bCs/>
          <w:sz w:val="22"/>
          <w:szCs w:val="22"/>
        </w:rPr>
        <w:t xml:space="preserve"> provided.  </w:t>
      </w:r>
    </w:p>
    <w:p w14:paraId="2CE03903" w14:textId="77777777" w:rsidR="00462E77" w:rsidRPr="00462E77" w:rsidRDefault="00462E77" w:rsidP="00462E77">
      <w:pPr>
        <w:pStyle w:val="Default"/>
        <w:rPr>
          <w:rFonts w:asciiTheme="minorHAnsi" w:hAnsiTheme="minorHAnsi"/>
          <w:bCs/>
          <w:sz w:val="22"/>
          <w:szCs w:val="22"/>
        </w:rPr>
      </w:pPr>
    </w:p>
    <w:p w14:paraId="30F8054D" w14:textId="6465D44D" w:rsidR="009A03AC" w:rsidRDefault="00462E77" w:rsidP="00837032">
      <w:pPr>
        <w:pStyle w:val="Default"/>
        <w:numPr>
          <w:ilvl w:val="0"/>
          <w:numId w:val="11"/>
        </w:numPr>
        <w:rPr>
          <w:rFonts w:asciiTheme="minorHAnsi" w:hAnsiTheme="minorHAnsi"/>
          <w:bCs/>
          <w:sz w:val="22"/>
          <w:szCs w:val="22"/>
        </w:rPr>
      </w:pPr>
      <w:r>
        <w:rPr>
          <w:rFonts w:asciiTheme="minorHAnsi" w:hAnsiTheme="minorHAnsi"/>
          <w:b/>
          <w:bCs/>
          <w:sz w:val="22"/>
          <w:szCs w:val="22"/>
        </w:rPr>
        <w:t>Federally funded projects</w:t>
      </w:r>
      <w:r w:rsidR="009A03AC" w:rsidRPr="003F782B">
        <w:rPr>
          <w:rFonts w:asciiTheme="minorHAnsi" w:hAnsiTheme="minorHAnsi"/>
          <w:b/>
          <w:bCs/>
          <w:sz w:val="22"/>
          <w:szCs w:val="22"/>
        </w:rPr>
        <w:t xml:space="preserve"> – 4 years generally</w:t>
      </w:r>
      <w:r w:rsidR="009B60E0">
        <w:rPr>
          <w:rFonts w:asciiTheme="minorHAnsi" w:hAnsiTheme="minorHAnsi"/>
          <w:b/>
          <w:bCs/>
          <w:sz w:val="22"/>
          <w:szCs w:val="22"/>
        </w:rPr>
        <w:t>;</w:t>
      </w:r>
      <w:r w:rsidR="009A03AC" w:rsidRPr="003F782B">
        <w:rPr>
          <w:rFonts w:asciiTheme="minorHAnsi" w:hAnsiTheme="minorHAnsi"/>
          <w:b/>
          <w:bCs/>
          <w:sz w:val="22"/>
          <w:szCs w:val="22"/>
        </w:rPr>
        <w:t xml:space="preserve"> permanently for </w:t>
      </w:r>
      <w:r w:rsidR="00174BEF">
        <w:rPr>
          <w:rFonts w:asciiTheme="minorHAnsi" w:hAnsiTheme="minorHAnsi"/>
          <w:b/>
          <w:bCs/>
          <w:sz w:val="22"/>
          <w:szCs w:val="22"/>
        </w:rPr>
        <w:t xml:space="preserve">certain </w:t>
      </w:r>
      <w:r w:rsidR="009A03AC" w:rsidRPr="003F782B">
        <w:rPr>
          <w:rFonts w:asciiTheme="minorHAnsi" w:hAnsiTheme="minorHAnsi"/>
          <w:b/>
          <w:bCs/>
          <w:sz w:val="22"/>
          <w:szCs w:val="22"/>
        </w:rPr>
        <w:t xml:space="preserve">close-out </w:t>
      </w:r>
      <w:r w:rsidR="00BA216A">
        <w:rPr>
          <w:rFonts w:asciiTheme="minorHAnsi" w:hAnsiTheme="minorHAnsi"/>
          <w:b/>
          <w:bCs/>
          <w:sz w:val="22"/>
          <w:szCs w:val="22"/>
        </w:rPr>
        <w:t>Records</w:t>
      </w:r>
      <w:r w:rsidR="009A03AC" w:rsidRPr="003F782B">
        <w:rPr>
          <w:rFonts w:asciiTheme="minorHAnsi" w:hAnsiTheme="minorHAnsi"/>
          <w:b/>
          <w:bCs/>
          <w:sz w:val="22"/>
          <w:szCs w:val="22"/>
        </w:rPr>
        <w:t xml:space="preserve"> and monitoring reports. </w:t>
      </w:r>
      <w:r w:rsidR="009A03AC" w:rsidRPr="003F782B">
        <w:rPr>
          <w:rFonts w:asciiTheme="minorHAnsi" w:hAnsiTheme="minorHAnsi"/>
          <w:bCs/>
          <w:sz w:val="22"/>
          <w:szCs w:val="22"/>
        </w:rPr>
        <w:t>If a program receives federal grant funds</w:t>
      </w:r>
      <w:r w:rsidR="009B60E0">
        <w:rPr>
          <w:rFonts w:asciiTheme="minorHAnsi" w:hAnsiTheme="minorHAnsi"/>
          <w:bCs/>
          <w:sz w:val="22"/>
          <w:szCs w:val="22"/>
        </w:rPr>
        <w:t>,</w:t>
      </w:r>
      <w:r w:rsidR="009A03AC" w:rsidRPr="003F782B">
        <w:rPr>
          <w:rFonts w:asciiTheme="minorHAnsi" w:hAnsiTheme="minorHAnsi"/>
          <w:bCs/>
          <w:sz w:val="22"/>
          <w:szCs w:val="22"/>
        </w:rPr>
        <w:t xml:space="preserve"> then the </w:t>
      </w:r>
      <w:r w:rsidR="00BA216A">
        <w:rPr>
          <w:rFonts w:asciiTheme="minorHAnsi" w:hAnsiTheme="minorHAnsi"/>
          <w:bCs/>
          <w:sz w:val="22"/>
          <w:szCs w:val="22"/>
        </w:rPr>
        <w:t>Record</w:t>
      </w:r>
      <w:r w:rsidR="009A03AC" w:rsidRPr="003F782B">
        <w:rPr>
          <w:rFonts w:asciiTheme="minorHAnsi" w:hAnsiTheme="minorHAnsi"/>
          <w:bCs/>
          <w:sz w:val="22"/>
          <w:szCs w:val="22"/>
        </w:rPr>
        <w:t xml:space="preserve"> retention period for financial </w:t>
      </w:r>
      <w:r w:rsidR="00BA216A">
        <w:rPr>
          <w:rFonts w:asciiTheme="minorHAnsi" w:hAnsiTheme="minorHAnsi"/>
          <w:bCs/>
          <w:sz w:val="22"/>
          <w:szCs w:val="22"/>
        </w:rPr>
        <w:t>Records</w:t>
      </w:r>
      <w:r w:rsidR="009A03AC" w:rsidRPr="003F782B">
        <w:rPr>
          <w:rFonts w:asciiTheme="minorHAnsi" w:hAnsiTheme="minorHAnsi"/>
          <w:bCs/>
          <w:sz w:val="22"/>
          <w:szCs w:val="22"/>
        </w:rPr>
        <w:t xml:space="preserve">, supporting documents, statistical </w:t>
      </w:r>
      <w:r w:rsidR="00BA216A">
        <w:rPr>
          <w:rFonts w:asciiTheme="minorHAnsi" w:hAnsiTheme="minorHAnsi"/>
          <w:bCs/>
          <w:sz w:val="22"/>
          <w:szCs w:val="22"/>
        </w:rPr>
        <w:t>Records</w:t>
      </w:r>
      <w:r w:rsidR="009A03AC" w:rsidRPr="003F782B">
        <w:rPr>
          <w:rFonts w:asciiTheme="minorHAnsi" w:hAnsiTheme="minorHAnsi"/>
          <w:bCs/>
          <w:sz w:val="22"/>
          <w:szCs w:val="22"/>
        </w:rPr>
        <w:t xml:space="preserve">, and all other </w:t>
      </w:r>
      <w:r w:rsidR="009B60E0">
        <w:rPr>
          <w:rFonts w:asciiTheme="minorHAnsi" w:hAnsiTheme="minorHAnsi"/>
          <w:bCs/>
          <w:sz w:val="22"/>
          <w:szCs w:val="22"/>
        </w:rPr>
        <w:t xml:space="preserve">CAA </w:t>
      </w:r>
      <w:r w:rsidR="00BA216A">
        <w:rPr>
          <w:rFonts w:asciiTheme="minorHAnsi" w:hAnsiTheme="minorHAnsi"/>
          <w:bCs/>
          <w:sz w:val="22"/>
          <w:szCs w:val="22"/>
        </w:rPr>
        <w:t>Records</w:t>
      </w:r>
      <w:r w:rsidR="009A03AC" w:rsidRPr="003F782B">
        <w:rPr>
          <w:rFonts w:asciiTheme="minorHAnsi" w:hAnsiTheme="minorHAnsi"/>
          <w:bCs/>
          <w:sz w:val="22"/>
          <w:szCs w:val="22"/>
        </w:rPr>
        <w:t xml:space="preserve"> pertinent to the federal award is </w:t>
      </w:r>
      <w:r w:rsidR="009779D0">
        <w:rPr>
          <w:rFonts w:asciiTheme="minorHAnsi" w:hAnsiTheme="minorHAnsi"/>
          <w:bCs/>
          <w:sz w:val="22"/>
          <w:szCs w:val="22"/>
        </w:rPr>
        <w:t>4</w:t>
      </w:r>
      <w:r w:rsidR="009779D0" w:rsidRPr="003F782B">
        <w:rPr>
          <w:rFonts w:asciiTheme="minorHAnsi" w:hAnsiTheme="minorHAnsi"/>
          <w:bCs/>
          <w:sz w:val="22"/>
          <w:szCs w:val="22"/>
        </w:rPr>
        <w:t xml:space="preserve"> </w:t>
      </w:r>
      <w:r w:rsidR="009A03AC" w:rsidRPr="003F782B">
        <w:rPr>
          <w:rFonts w:asciiTheme="minorHAnsi" w:hAnsiTheme="minorHAnsi"/>
          <w:bCs/>
          <w:sz w:val="22"/>
          <w:szCs w:val="22"/>
        </w:rPr>
        <w:t>years</w:t>
      </w:r>
      <w:r w:rsidR="009A03AC" w:rsidRPr="002D1280">
        <w:rPr>
          <w:rStyle w:val="FootnoteReference"/>
          <w:rFonts w:asciiTheme="minorHAnsi" w:hAnsiTheme="minorHAnsi"/>
          <w:bCs/>
          <w:sz w:val="22"/>
          <w:szCs w:val="22"/>
        </w:rPr>
        <w:footnoteReference w:id="7"/>
      </w:r>
      <w:r w:rsidR="009A03AC" w:rsidRPr="003F782B">
        <w:rPr>
          <w:rFonts w:asciiTheme="minorHAnsi" w:hAnsiTheme="minorHAnsi"/>
          <w:bCs/>
          <w:sz w:val="22"/>
          <w:szCs w:val="22"/>
        </w:rPr>
        <w:t xml:space="preserve"> after termination of the federal grant, except that grant close-out </w:t>
      </w:r>
      <w:r w:rsidR="00BA216A">
        <w:rPr>
          <w:rFonts w:asciiTheme="minorHAnsi" w:hAnsiTheme="minorHAnsi"/>
          <w:bCs/>
          <w:sz w:val="22"/>
          <w:szCs w:val="22"/>
        </w:rPr>
        <w:t>Records</w:t>
      </w:r>
      <w:r w:rsidR="00174BEF">
        <w:rPr>
          <w:rFonts w:asciiTheme="minorHAnsi" w:hAnsiTheme="minorHAnsi"/>
          <w:bCs/>
          <w:sz w:val="22"/>
          <w:szCs w:val="22"/>
        </w:rPr>
        <w:t xml:space="preserve"> created prior to December 26, 2014</w:t>
      </w:r>
      <w:r w:rsidR="009A03AC" w:rsidRPr="003F782B">
        <w:rPr>
          <w:rFonts w:asciiTheme="minorHAnsi" w:hAnsiTheme="minorHAnsi"/>
          <w:bCs/>
          <w:sz w:val="22"/>
          <w:szCs w:val="22"/>
        </w:rPr>
        <w:t>, including but not limited to monitoring or audit reports and corrective action plans and reports, if any, shall be retained permanently.</w:t>
      </w:r>
      <w:r w:rsidR="00174BEF">
        <w:rPr>
          <w:rStyle w:val="FootnoteReference"/>
          <w:rFonts w:asciiTheme="minorHAnsi" w:hAnsiTheme="minorHAnsi"/>
          <w:bCs/>
          <w:sz w:val="22"/>
          <w:szCs w:val="22"/>
        </w:rPr>
        <w:footnoteReference w:id="8"/>
      </w:r>
      <w:r w:rsidR="009A03AC" w:rsidRPr="003F782B">
        <w:rPr>
          <w:rFonts w:asciiTheme="minorHAnsi" w:hAnsiTheme="minorHAnsi"/>
          <w:bCs/>
          <w:sz w:val="22"/>
          <w:szCs w:val="22"/>
        </w:rPr>
        <w:t xml:space="preserve"> </w:t>
      </w:r>
      <w:r w:rsidR="00B078EC" w:rsidRPr="00B078EC">
        <w:rPr>
          <w:rFonts w:asciiTheme="minorHAnsi" w:hAnsiTheme="minorHAnsi"/>
          <w:bCs/>
          <w:sz w:val="22"/>
          <w:szCs w:val="22"/>
        </w:rPr>
        <w:t xml:space="preserve">The retention period for any of the federal award-related </w:t>
      </w:r>
      <w:r w:rsidR="00BA216A">
        <w:rPr>
          <w:rFonts w:asciiTheme="minorHAnsi" w:hAnsiTheme="minorHAnsi"/>
          <w:bCs/>
          <w:sz w:val="22"/>
          <w:szCs w:val="22"/>
        </w:rPr>
        <w:t>Records</w:t>
      </w:r>
      <w:r w:rsidR="00B078EC" w:rsidRPr="00B078EC">
        <w:rPr>
          <w:rFonts w:asciiTheme="minorHAnsi" w:hAnsiTheme="minorHAnsi"/>
          <w:bCs/>
          <w:sz w:val="22"/>
          <w:szCs w:val="22"/>
        </w:rPr>
        <w:t xml:space="preserve"> may be extended if a fe</w:t>
      </w:r>
      <w:r w:rsidR="00D54B66">
        <w:rPr>
          <w:rFonts w:asciiTheme="minorHAnsi" w:hAnsiTheme="minorHAnsi"/>
          <w:bCs/>
          <w:sz w:val="22"/>
          <w:szCs w:val="22"/>
        </w:rPr>
        <w:t xml:space="preserve">deral funding source notifies </w:t>
      </w:r>
      <w:r w:rsidR="00B078EC" w:rsidRPr="00B078EC">
        <w:rPr>
          <w:rFonts w:asciiTheme="minorHAnsi" w:hAnsiTheme="minorHAnsi"/>
          <w:bCs/>
          <w:sz w:val="22"/>
          <w:szCs w:val="22"/>
        </w:rPr>
        <w:t>CAA of such extension in writing.</w:t>
      </w:r>
    </w:p>
    <w:p w14:paraId="35F03350" w14:textId="77777777" w:rsidR="009A03AC" w:rsidRPr="002D1280" w:rsidRDefault="009A03AC" w:rsidP="009A03AC">
      <w:pPr>
        <w:pStyle w:val="Default"/>
        <w:rPr>
          <w:rFonts w:asciiTheme="minorHAnsi" w:hAnsiTheme="minorHAnsi"/>
          <w:bCs/>
          <w:sz w:val="22"/>
          <w:szCs w:val="22"/>
        </w:rPr>
      </w:pPr>
    </w:p>
    <w:p w14:paraId="5AED63D2" w14:textId="3F3FC797" w:rsidR="009A03AC" w:rsidRPr="002D1280" w:rsidRDefault="009A03AC" w:rsidP="00837032">
      <w:pPr>
        <w:pStyle w:val="Default"/>
        <w:numPr>
          <w:ilvl w:val="0"/>
          <w:numId w:val="12"/>
        </w:numPr>
        <w:rPr>
          <w:rFonts w:asciiTheme="minorHAnsi" w:hAnsiTheme="minorHAnsi"/>
          <w:bCs/>
          <w:sz w:val="22"/>
          <w:szCs w:val="22"/>
        </w:rPr>
      </w:pPr>
      <w:r w:rsidRPr="002D1280">
        <w:rPr>
          <w:rFonts w:asciiTheme="minorHAnsi" w:hAnsiTheme="minorHAnsi"/>
          <w:b/>
          <w:bCs/>
          <w:sz w:val="22"/>
          <w:szCs w:val="22"/>
        </w:rPr>
        <w:t>Contracts with consultants, businesses, and other private parties – [</w:t>
      </w:r>
      <w:r w:rsidRPr="002D1280">
        <w:rPr>
          <w:rFonts w:asciiTheme="minorHAnsi" w:hAnsiTheme="minorHAnsi"/>
          <w:b/>
          <w:bCs/>
          <w:sz w:val="22"/>
          <w:szCs w:val="22"/>
          <w:highlight w:val="yellow"/>
        </w:rPr>
        <w:t xml:space="preserve">Number of years of statute of limitations in </w:t>
      </w:r>
      <w:r w:rsidR="009B60E0">
        <w:rPr>
          <w:rFonts w:asciiTheme="minorHAnsi" w:hAnsiTheme="minorHAnsi"/>
          <w:b/>
          <w:bCs/>
          <w:sz w:val="22"/>
          <w:szCs w:val="22"/>
          <w:highlight w:val="yellow"/>
        </w:rPr>
        <w:t>your CAA’s</w:t>
      </w:r>
      <w:r w:rsidRPr="002D1280">
        <w:rPr>
          <w:rFonts w:asciiTheme="minorHAnsi" w:hAnsiTheme="minorHAnsi"/>
          <w:b/>
          <w:bCs/>
          <w:sz w:val="22"/>
          <w:szCs w:val="22"/>
          <w:highlight w:val="yellow"/>
        </w:rPr>
        <w:t xml:space="preserve"> state for contract claims,</w:t>
      </w:r>
      <w:r w:rsidRPr="002D1280">
        <w:rPr>
          <w:rStyle w:val="FootnoteReference"/>
          <w:rFonts w:asciiTheme="minorHAnsi" w:hAnsiTheme="minorHAnsi"/>
          <w:b/>
          <w:bCs/>
          <w:sz w:val="22"/>
          <w:szCs w:val="22"/>
          <w:highlight w:val="yellow"/>
        </w:rPr>
        <w:footnoteReference w:id="9"/>
      </w:r>
      <w:r w:rsidRPr="002D1280">
        <w:rPr>
          <w:rFonts w:asciiTheme="minorHAnsi" w:hAnsiTheme="minorHAnsi"/>
          <w:b/>
          <w:bCs/>
          <w:sz w:val="22"/>
          <w:szCs w:val="22"/>
          <w:highlight w:val="yellow"/>
        </w:rPr>
        <w:t xml:space="preserve"> plus </w:t>
      </w:r>
      <w:r w:rsidR="00463C81">
        <w:rPr>
          <w:rFonts w:asciiTheme="minorHAnsi" w:hAnsiTheme="minorHAnsi"/>
          <w:b/>
          <w:bCs/>
          <w:sz w:val="22"/>
          <w:szCs w:val="22"/>
          <w:highlight w:val="yellow"/>
        </w:rPr>
        <w:t>1</w:t>
      </w:r>
      <w:r w:rsidR="00463C81" w:rsidRPr="002D1280">
        <w:rPr>
          <w:rFonts w:asciiTheme="minorHAnsi" w:hAnsiTheme="minorHAnsi"/>
          <w:b/>
          <w:bCs/>
          <w:sz w:val="22"/>
          <w:szCs w:val="22"/>
          <w:highlight w:val="yellow"/>
        </w:rPr>
        <w:t xml:space="preserve"> </w:t>
      </w:r>
      <w:r w:rsidRPr="002D1280">
        <w:rPr>
          <w:rFonts w:asciiTheme="minorHAnsi" w:hAnsiTheme="minorHAnsi"/>
          <w:b/>
          <w:bCs/>
          <w:sz w:val="22"/>
          <w:szCs w:val="22"/>
          <w:highlight w:val="yellow"/>
        </w:rPr>
        <w:t>year</w:t>
      </w:r>
      <w:r w:rsidRPr="002D1280">
        <w:rPr>
          <w:rFonts w:asciiTheme="minorHAnsi" w:hAnsiTheme="minorHAnsi"/>
          <w:b/>
          <w:bCs/>
          <w:sz w:val="22"/>
          <w:szCs w:val="22"/>
        </w:rPr>
        <w:t xml:space="preserve">]. </w:t>
      </w:r>
      <w:r w:rsidRPr="002D1280">
        <w:rPr>
          <w:rFonts w:asciiTheme="minorHAnsi" w:hAnsiTheme="minorHAnsi"/>
          <w:bCs/>
          <w:sz w:val="22"/>
          <w:szCs w:val="22"/>
        </w:rPr>
        <w:t xml:space="preserve">The </w:t>
      </w:r>
      <w:r w:rsidR="00BA216A">
        <w:rPr>
          <w:rFonts w:asciiTheme="minorHAnsi" w:hAnsiTheme="minorHAnsi"/>
          <w:bCs/>
          <w:sz w:val="22"/>
          <w:szCs w:val="22"/>
        </w:rPr>
        <w:t>Record</w:t>
      </w:r>
      <w:r w:rsidRPr="002D1280">
        <w:rPr>
          <w:rFonts w:asciiTheme="minorHAnsi" w:hAnsiTheme="minorHAnsi"/>
          <w:bCs/>
          <w:sz w:val="22"/>
          <w:szCs w:val="22"/>
        </w:rPr>
        <w:t xml:space="preserve"> retention periods for contracts between CAA and a private party (</w:t>
      </w:r>
      <w:r w:rsidR="009B60E0">
        <w:rPr>
          <w:rFonts w:asciiTheme="minorHAnsi" w:hAnsiTheme="minorHAnsi"/>
          <w:bCs/>
          <w:sz w:val="22"/>
          <w:szCs w:val="22"/>
        </w:rPr>
        <w:t xml:space="preserve">i.e., parties other than local, state, and federal </w:t>
      </w:r>
      <w:r w:rsidRPr="002D1280">
        <w:rPr>
          <w:rFonts w:asciiTheme="minorHAnsi" w:hAnsiTheme="minorHAnsi"/>
          <w:bCs/>
          <w:sz w:val="22"/>
          <w:szCs w:val="22"/>
        </w:rPr>
        <w:t>government</w:t>
      </w:r>
      <w:r w:rsidR="009B60E0">
        <w:rPr>
          <w:rFonts w:asciiTheme="minorHAnsi" w:hAnsiTheme="minorHAnsi"/>
          <w:bCs/>
          <w:sz w:val="22"/>
          <w:szCs w:val="22"/>
        </w:rPr>
        <w:t xml:space="preserve"> entities</w:t>
      </w:r>
      <w:r w:rsidRPr="002D1280">
        <w:rPr>
          <w:rFonts w:asciiTheme="minorHAnsi" w:hAnsiTheme="minorHAnsi"/>
          <w:bCs/>
          <w:sz w:val="22"/>
          <w:szCs w:val="22"/>
        </w:rPr>
        <w:t xml:space="preserve">), and </w:t>
      </w:r>
      <w:r w:rsidR="00BA216A">
        <w:rPr>
          <w:rFonts w:asciiTheme="minorHAnsi" w:hAnsiTheme="minorHAnsi"/>
          <w:bCs/>
          <w:sz w:val="22"/>
          <w:szCs w:val="22"/>
        </w:rPr>
        <w:t>Records</w:t>
      </w:r>
      <w:r w:rsidRPr="002D1280">
        <w:rPr>
          <w:rFonts w:asciiTheme="minorHAnsi" w:hAnsiTheme="minorHAnsi"/>
          <w:bCs/>
          <w:sz w:val="22"/>
          <w:szCs w:val="22"/>
        </w:rPr>
        <w:t xml:space="preserve"> in connection with </w:t>
      </w:r>
      <w:r w:rsidR="009B60E0">
        <w:rPr>
          <w:rFonts w:asciiTheme="minorHAnsi" w:hAnsiTheme="minorHAnsi"/>
          <w:bCs/>
          <w:sz w:val="22"/>
          <w:szCs w:val="22"/>
        </w:rPr>
        <w:t>such contracts</w:t>
      </w:r>
      <w:r w:rsidRPr="002D1280">
        <w:rPr>
          <w:rFonts w:asciiTheme="minorHAnsi" w:hAnsiTheme="minorHAnsi"/>
          <w:bCs/>
          <w:sz w:val="22"/>
          <w:szCs w:val="22"/>
        </w:rPr>
        <w:t>, shall be kept for a period of [</w:t>
      </w:r>
      <w:r w:rsidR="00B078EC" w:rsidRPr="00837032">
        <w:rPr>
          <w:rFonts w:asciiTheme="minorHAnsi" w:hAnsiTheme="minorHAnsi"/>
          <w:bCs/>
          <w:sz w:val="22"/>
          <w:szCs w:val="22"/>
          <w:highlight w:val="yellow"/>
        </w:rPr>
        <w:t>#</w:t>
      </w:r>
      <w:r w:rsidRPr="00B078EC">
        <w:rPr>
          <w:rFonts w:asciiTheme="minorHAnsi" w:hAnsiTheme="minorHAnsi"/>
          <w:bCs/>
          <w:sz w:val="22"/>
          <w:szCs w:val="22"/>
        </w:rPr>
        <w:t>]</w:t>
      </w:r>
      <w:r w:rsidR="00677A65" w:rsidRPr="00837032">
        <w:rPr>
          <w:rStyle w:val="FootnoteReference"/>
          <w:rFonts w:asciiTheme="minorHAnsi" w:hAnsiTheme="minorHAnsi"/>
          <w:bCs/>
          <w:sz w:val="22"/>
          <w:szCs w:val="22"/>
        </w:rPr>
        <w:footnoteReference w:id="10"/>
      </w:r>
      <w:r w:rsidRPr="00677A65">
        <w:rPr>
          <w:rFonts w:asciiTheme="minorHAnsi" w:hAnsiTheme="minorHAnsi"/>
          <w:bCs/>
          <w:sz w:val="22"/>
          <w:szCs w:val="22"/>
        </w:rPr>
        <w:t xml:space="preserve"> </w:t>
      </w:r>
      <w:r w:rsidRPr="002D1280">
        <w:rPr>
          <w:rFonts w:asciiTheme="minorHAnsi" w:hAnsiTheme="minorHAnsi"/>
          <w:bCs/>
          <w:sz w:val="22"/>
          <w:szCs w:val="22"/>
        </w:rPr>
        <w:t>years after termination of the contract.</w:t>
      </w:r>
    </w:p>
    <w:p w14:paraId="601B4E5F" w14:textId="77777777" w:rsidR="009A03AC" w:rsidRDefault="009A03AC" w:rsidP="00BE1A57">
      <w:pPr>
        <w:pStyle w:val="Default"/>
        <w:tabs>
          <w:tab w:val="left" w:pos="0"/>
        </w:tabs>
        <w:rPr>
          <w:rFonts w:asciiTheme="minorHAnsi" w:hAnsiTheme="minorHAnsi"/>
          <w:color w:val="auto"/>
          <w:sz w:val="22"/>
          <w:szCs w:val="22"/>
        </w:rPr>
      </w:pPr>
    </w:p>
    <w:p w14:paraId="129A7F9C" w14:textId="3421A0A9" w:rsidR="002D16D6" w:rsidRDefault="00CC56AD" w:rsidP="005F185D">
      <w:pPr>
        <w:pStyle w:val="Default"/>
        <w:rPr>
          <w:rFonts w:asciiTheme="minorHAnsi" w:hAnsiTheme="minorHAnsi"/>
          <w:sz w:val="22"/>
          <w:szCs w:val="22"/>
        </w:rPr>
      </w:pPr>
      <w:r w:rsidRPr="002D1280">
        <w:rPr>
          <w:rFonts w:asciiTheme="minorHAnsi" w:hAnsiTheme="minorHAnsi"/>
          <w:b/>
          <w:bCs/>
          <w:i/>
          <w:sz w:val="22"/>
          <w:szCs w:val="22"/>
        </w:rPr>
        <w:t>Document Destruction</w:t>
      </w:r>
      <w:r w:rsidRPr="002D1280">
        <w:rPr>
          <w:rFonts w:asciiTheme="minorHAnsi" w:hAnsiTheme="minorHAnsi"/>
          <w:bCs/>
          <w:sz w:val="22"/>
          <w:szCs w:val="22"/>
        </w:rPr>
        <w:t xml:space="preserve">. Once the retention period for a document has expired and the </w:t>
      </w:r>
      <w:r w:rsidR="00BA216A">
        <w:rPr>
          <w:rFonts w:asciiTheme="minorHAnsi" w:hAnsiTheme="minorHAnsi"/>
          <w:bCs/>
          <w:sz w:val="22"/>
          <w:szCs w:val="22"/>
        </w:rPr>
        <w:t>Record</w:t>
      </w:r>
      <w:r w:rsidRPr="002D1280">
        <w:rPr>
          <w:rFonts w:asciiTheme="minorHAnsi" w:hAnsiTheme="minorHAnsi"/>
          <w:bCs/>
          <w:sz w:val="22"/>
          <w:szCs w:val="22"/>
        </w:rPr>
        <w:t xml:space="preserve"> is no longer needed, the document shall be destroyed and any </w:t>
      </w:r>
      <w:r w:rsidR="00BA216A">
        <w:rPr>
          <w:rFonts w:asciiTheme="minorHAnsi" w:hAnsiTheme="minorHAnsi"/>
          <w:bCs/>
          <w:sz w:val="22"/>
          <w:szCs w:val="22"/>
        </w:rPr>
        <w:t>Record</w:t>
      </w:r>
      <w:r w:rsidRPr="00B078EC">
        <w:rPr>
          <w:rFonts w:asciiTheme="minorHAnsi" w:hAnsiTheme="minorHAnsi"/>
          <w:bCs/>
          <w:sz w:val="22"/>
          <w:szCs w:val="22"/>
        </w:rPr>
        <w:t xml:space="preserve"> containing</w:t>
      </w:r>
      <w:r w:rsidR="00B078EC" w:rsidRPr="00B078EC">
        <w:rPr>
          <w:rFonts w:asciiTheme="minorHAnsi" w:hAnsiTheme="minorHAnsi"/>
          <w:bCs/>
          <w:sz w:val="22"/>
          <w:szCs w:val="22"/>
        </w:rPr>
        <w:t xml:space="preserve"> p</w:t>
      </w:r>
      <w:r w:rsidRPr="00B078EC">
        <w:rPr>
          <w:rFonts w:asciiTheme="minorHAnsi" w:hAnsiTheme="minorHAnsi"/>
          <w:bCs/>
          <w:sz w:val="22"/>
          <w:szCs w:val="22"/>
        </w:rPr>
        <w:t>ersonal</w:t>
      </w:r>
      <w:r w:rsidR="002D16D6" w:rsidRPr="00B078EC">
        <w:rPr>
          <w:rFonts w:asciiTheme="minorHAnsi" w:hAnsiTheme="minorHAnsi"/>
          <w:bCs/>
          <w:sz w:val="22"/>
          <w:szCs w:val="22"/>
        </w:rPr>
        <w:t xml:space="preserve">ly </w:t>
      </w:r>
      <w:r w:rsidR="0056055F">
        <w:rPr>
          <w:rFonts w:asciiTheme="minorHAnsi" w:hAnsiTheme="minorHAnsi"/>
          <w:bCs/>
          <w:sz w:val="22"/>
          <w:szCs w:val="22"/>
        </w:rPr>
        <w:t>i</w:t>
      </w:r>
      <w:r w:rsidR="002D16D6" w:rsidRPr="00B078EC">
        <w:rPr>
          <w:rFonts w:asciiTheme="minorHAnsi" w:hAnsiTheme="minorHAnsi"/>
          <w:bCs/>
          <w:sz w:val="22"/>
          <w:szCs w:val="22"/>
        </w:rPr>
        <w:t>dentifiable</w:t>
      </w:r>
      <w:r w:rsidRPr="00B078EC">
        <w:rPr>
          <w:rFonts w:asciiTheme="minorHAnsi" w:hAnsiTheme="minorHAnsi"/>
          <w:bCs/>
          <w:sz w:val="22"/>
          <w:szCs w:val="22"/>
        </w:rPr>
        <w:t xml:space="preserve"> </w:t>
      </w:r>
      <w:r w:rsidR="0056055F">
        <w:rPr>
          <w:rFonts w:asciiTheme="minorHAnsi" w:hAnsiTheme="minorHAnsi"/>
          <w:bCs/>
          <w:sz w:val="22"/>
          <w:szCs w:val="22"/>
        </w:rPr>
        <w:t>i</w:t>
      </w:r>
      <w:r w:rsidRPr="00B078EC">
        <w:rPr>
          <w:rFonts w:asciiTheme="minorHAnsi" w:hAnsiTheme="minorHAnsi"/>
          <w:bCs/>
          <w:sz w:val="22"/>
          <w:szCs w:val="22"/>
        </w:rPr>
        <w:t>nformation</w:t>
      </w:r>
      <w:r w:rsidRPr="00B078EC">
        <w:rPr>
          <w:rStyle w:val="FootnoteReference"/>
          <w:rFonts w:asciiTheme="minorHAnsi" w:hAnsiTheme="minorHAnsi"/>
          <w:bCs/>
          <w:sz w:val="22"/>
          <w:szCs w:val="22"/>
        </w:rPr>
        <w:footnoteReference w:id="11"/>
      </w:r>
      <w:r w:rsidR="00B078EC" w:rsidRPr="00B078EC">
        <w:rPr>
          <w:rFonts w:asciiTheme="minorHAnsi" w:hAnsiTheme="minorHAnsi"/>
          <w:bCs/>
          <w:sz w:val="22"/>
          <w:szCs w:val="22"/>
        </w:rPr>
        <w:t xml:space="preserve"> (PII)</w:t>
      </w:r>
      <w:r w:rsidRPr="00B078EC">
        <w:rPr>
          <w:rFonts w:asciiTheme="minorHAnsi" w:hAnsiTheme="minorHAnsi"/>
          <w:bCs/>
          <w:sz w:val="22"/>
          <w:szCs w:val="22"/>
        </w:rPr>
        <w:t xml:space="preserve"> shall be shredded.</w:t>
      </w:r>
      <w:r w:rsidR="00B078EC" w:rsidRPr="00837032">
        <w:rPr>
          <w:rFonts w:asciiTheme="minorHAnsi" w:hAnsiTheme="minorHAnsi"/>
          <w:sz w:val="22"/>
          <w:szCs w:val="22"/>
        </w:rPr>
        <w:t xml:space="preserve"> PII</w:t>
      </w:r>
      <w:r w:rsidR="002D16D6" w:rsidRPr="00B078EC">
        <w:rPr>
          <w:rFonts w:asciiTheme="minorHAnsi" w:hAnsiTheme="minorHAnsi"/>
          <w:sz w:val="22"/>
          <w:szCs w:val="22"/>
        </w:rPr>
        <w:t xml:space="preserve"> </w:t>
      </w:r>
      <w:r w:rsidR="00B078EC">
        <w:rPr>
          <w:rFonts w:asciiTheme="minorHAnsi" w:hAnsiTheme="minorHAnsi"/>
          <w:sz w:val="22"/>
          <w:szCs w:val="22"/>
        </w:rPr>
        <w:t>includes</w:t>
      </w:r>
      <w:r w:rsidR="00B078EC" w:rsidRPr="00B078EC">
        <w:rPr>
          <w:rFonts w:asciiTheme="minorHAnsi" w:hAnsiTheme="minorHAnsi"/>
          <w:sz w:val="22"/>
          <w:szCs w:val="22"/>
        </w:rPr>
        <w:t xml:space="preserve"> </w:t>
      </w:r>
      <w:r w:rsidR="002D16D6" w:rsidRPr="00B078EC">
        <w:rPr>
          <w:rFonts w:asciiTheme="minorHAnsi" w:hAnsiTheme="minorHAnsi"/>
          <w:sz w:val="22"/>
          <w:szCs w:val="22"/>
        </w:rPr>
        <w:t>an individual</w:t>
      </w:r>
      <w:r w:rsidR="00D454E9" w:rsidRPr="00B078EC">
        <w:rPr>
          <w:rFonts w:asciiTheme="minorHAnsi" w:hAnsiTheme="minorHAnsi"/>
          <w:sz w:val="22"/>
          <w:szCs w:val="22"/>
        </w:rPr>
        <w:t>’</w:t>
      </w:r>
      <w:r w:rsidR="002D16D6" w:rsidRPr="00B078EC">
        <w:rPr>
          <w:rFonts w:asciiTheme="minorHAnsi" w:hAnsiTheme="minorHAnsi"/>
          <w:sz w:val="22"/>
          <w:szCs w:val="22"/>
        </w:rPr>
        <w:t>s first name or first initial and last name in combination with any one or more of types of information, including, but not limited to</w:t>
      </w:r>
      <w:r w:rsidR="009B60E0">
        <w:rPr>
          <w:rFonts w:asciiTheme="minorHAnsi" w:hAnsiTheme="minorHAnsi"/>
          <w:sz w:val="22"/>
          <w:szCs w:val="22"/>
        </w:rPr>
        <w:t>:</w:t>
      </w:r>
      <w:r w:rsidR="002D16D6" w:rsidRPr="00B078EC">
        <w:rPr>
          <w:rFonts w:asciiTheme="minorHAnsi" w:hAnsiTheme="minorHAnsi"/>
          <w:sz w:val="22"/>
          <w:szCs w:val="22"/>
        </w:rPr>
        <w:t xml:space="preserve"> social security number</w:t>
      </w:r>
      <w:r w:rsidR="009B60E0">
        <w:rPr>
          <w:rFonts w:asciiTheme="minorHAnsi" w:hAnsiTheme="minorHAnsi"/>
          <w:sz w:val="22"/>
          <w:szCs w:val="22"/>
        </w:rPr>
        <w:t>;</w:t>
      </w:r>
      <w:r w:rsidR="002D16D6" w:rsidRPr="00B078EC">
        <w:rPr>
          <w:rFonts w:asciiTheme="minorHAnsi" w:hAnsiTheme="minorHAnsi"/>
          <w:sz w:val="22"/>
          <w:szCs w:val="22"/>
        </w:rPr>
        <w:t xml:space="preserve"> passport number</w:t>
      </w:r>
      <w:r w:rsidR="009B60E0">
        <w:rPr>
          <w:rFonts w:asciiTheme="minorHAnsi" w:hAnsiTheme="minorHAnsi"/>
          <w:sz w:val="22"/>
          <w:szCs w:val="22"/>
        </w:rPr>
        <w:t>;</w:t>
      </w:r>
      <w:r w:rsidR="002D16D6" w:rsidRPr="00B078EC">
        <w:rPr>
          <w:rFonts w:asciiTheme="minorHAnsi" w:hAnsiTheme="minorHAnsi"/>
          <w:sz w:val="22"/>
          <w:szCs w:val="22"/>
        </w:rPr>
        <w:t xml:space="preserve"> credit card numbers</w:t>
      </w:r>
      <w:r w:rsidR="009B60E0">
        <w:rPr>
          <w:rFonts w:asciiTheme="minorHAnsi" w:hAnsiTheme="minorHAnsi"/>
          <w:sz w:val="22"/>
          <w:szCs w:val="22"/>
        </w:rPr>
        <w:t>;</w:t>
      </w:r>
      <w:r w:rsidR="002D16D6" w:rsidRPr="00B078EC">
        <w:rPr>
          <w:rFonts w:asciiTheme="minorHAnsi" w:hAnsiTheme="minorHAnsi"/>
          <w:sz w:val="22"/>
          <w:szCs w:val="22"/>
        </w:rPr>
        <w:t xml:space="preserve"> clearances</w:t>
      </w:r>
      <w:r w:rsidR="009B60E0">
        <w:rPr>
          <w:rFonts w:asciiTheme="minorHAnsi" w:hAnsiTheme="minorHAnsi"/>
          <w:sz w:val="22"/>
          <w:szCs w:val="22"/>
        </w:rPr>
        <w:t>;</w:t>
      </w:r>
      <w:r w:rsidR="002D16D6" w:rsidRPr="00B078EC">
        <w:rPr>
          <w:rFonts w:asciiTheme="minorHAnsi" w:hAnsiTheme="minorHAnsi"/>
          <w:sz w:val="22"/>
          <w:szCs w:val="22"/>
        </w:rPr>
        <w:t xml:space="preserve"> bank numbers</w:t>
      </w:r>
      <w:r w:rsidR="009B60E0">
        <w:rPr>
          <w:rFonts w:asciiTheme="minorHAnsi" w:hAnsiTheme="minorHAnsi"/>
          <w:sz w:val="22"/>
          <w:szCs w:val="22"/>
        </w:rPr>
        <w:t>;</w:t>
      </w:r>
      <w:r w:rsidR="002D16D6" w:rsidRPr="00B078EC">
        <w:rPr>
          <w:rFonts w:asciiTheme="minorHAnsi" w:hAnsiTheme="minorHAnsi"/>
          <w:sz w:val="22"/>
          <w:szCs w:val="22"/>
        </w:rPr>
        <w:t xml:space="preserve"> biometrics</w:t>
      </w:r>
      <w:r w:rsidR="009B60E0">
        <w:rPr>
          <w:rFonts w:asciiTheme="minorHAnsi" w:hAnsiTheme="minorHAnsi"/>
          <w:sz w:val="22"/>
          <w:szCs w:val="22"/>
        </w:rPr>
        <w:t>;</w:t>
      </w:r>
      <w:r w:rsidR="002D16D6" w:rsidRPr="00B078EC">
        <w:rPr>
          <w:rFonts w:asciiTheme="minorHAnsi" w:hAnsiTheme="minorHAnsi"/>
          <w:sz w:val="22"/>
          <w:szCs w:val="22"/>
        </w:rPr>
        <w:t xml:space="preserve"> date and place of birth</w:t>
      </w:r>
      <w:r w:rsidR="009B60E0">
        <w:rPr>
          <w:rFonts w:asciiTheme="minorHAnsi" w:hAnsiTheme="minorHAnsi"/>
          <w:sz w:val="22"/>
          <w:szCs w:val="22"/>
        </w:rPr>
        <w:t>;</w:t>
      </w:r>
      <w:r w:rsidR="002D16D6" w:rsidRPr="00B078EC">
        <w:rPr>
          <w:rFonts w:asciiTheme="minorHAnsi" w:hAnsiTheme="minorHAnsi"/>
          <w:sz w:val="22"/>
          <w:szCs w:val="22"/>
        </w:rPr>
        <w:t xml:space="preserve"> mother</w:t>
      </w:r>
      <w:r w:rsidR="00D454E9" w:rsidRPr="00B078EC">
        <w:rPr>
          <w:rFonts w:asciiTheme="minorHAnsi" w:hAnsiTheme="minorHAnsi"/>
          <w:sz w:val="22"/>
          <w:szCs w:val="22"/>
        </w:rPr>
        <w:t>’</w:t>
      </w:r>
      <w:r w:rsidR="002D16D6" w:rsidRPr="00B078EC">
        <w:rPr>
          <w:rFonts w:asciiTheme="minorHAnsi" w:hAnsiTheme="minorHAnsi"/>
          <w:sz w:val="22"/>
          <w:szCs w:val="22"/>
        </w:rPr>
        <w:t>s maiden name</w:t>
      </w:r>
      <w:r w:rsidR="009B60E0">
        <w:rPr>
          <w:rFonts w:asciiTheme="minorHAnsi" w:hAnsiTheme="minorHAnsi"/>
          <w:sz w:val="22"/>
          <w:szCs w:val="22"/>
        </w:rPr>
        <w:t>;</w:t>
      </w:r>
      <w:r w:rsidR="002D16D6" w:rsidRPr="00B078EC">
        <w:rPr>
          <w:rFonts w:asciiTheme="minorHAnsi" w:hAnsiTheme="minorHAnsi"/>
          <w:sz w:val="22"/>
          <w:szCs w:val="22"/>
        </w:rPr>
        <w:t xml:space="preserve"> criminal, medical and financial </w:t>
      </w:r>
      <w:r w:rsidR="00BA216A">
        <w:rPr>
          <w:rFonts w:asciiTheme="minorHAnsi" w:hAnsiTheme="minorHAnsi"/>
          <w:sz w:val="22"/>
          <w:szCs w:val="22"/>
        </w:rPr>
        <w:t>Records</w:t>
      </w:r>
      <w:r w:rsidR="009B60E0">
        <w:rPr>
          <w:rFonts w:asciiTheme="minorHAnsi" w:hAnsiTheme="minorHAnsi"/>
          <w:sz w:val="22"/>
          <w:szCs w:val="22"/>
        </w:rPr>
        <w:t>;</w:t>
      </w:r>
      <w:r w:rsidR="002D16D6" w:rsidRPr="00B078EC">
        <w:rPr>
          <w:rFonts w:asciiTheme="minorHAnsi" w:hAnsiTheme="minorHAnsi"/>
          <w:sz w:val="22"/>
          <w:szCs w:val="22"/>
        </w:rPr>
        <w:t xml:space="preserve"> </w:t>
      </w:r>
      <w:r w:rsidR="009B60E0">
        <w:rPr>
          <w:rFonts w:asciiTheme="minorHAnsi" w:hAnsiTheme="minorHAnsi"/>
          <w:sz w:val="22"/>
          <w:szCs w:val="22"/>
        </w:rPr>
        <w:t xml:space="preserve">and </w:t>
      </w:r>
      <w:r w:rsidR="002D16D6" w:rsidRPr="00B078EC">
        <w:rPr>
          <w:rFonts w:asciiTheme="minorHAnsi" w:hAnsiTheme="minorHAnsi"/>
          <w:sz w:val="22"/>
          <w:szCs w:val="22"/>
        </w:rPr>
        <w:t>educational transcripts</w:t>
      </w:r>
      <w:r w:rsidR="00D454E9" w:rsidRPr="00B078EC">
        <w:rPr>
          <w:rFonts w:asciiTheme="minorHAnsi" w:hAnsiTheme="minorHAnsi"/>
          <w:sz w:val="22"/>
          <w:szCs w:val="22"/>
        </w:rPr>
        <w:t>.</w:t>
      </w:r>
      <w:r w:rsidR="00D454E9" w:rsidRPr="00B078EC">
        <w:rPr>
          <w:rStyle w:val="FootnoteReference"/>
          <w:rFonts w:asciiTheme="minorHAnsi" w:hAnsiTheme="minorHAnsi"/>
          <w:sz w:val="22"/>
          <w:szCs w:val="22"/>
        </w:rPr>
        <w:footnoteReference w:id="12"/>
      </w:r>
    </w:p>
    <w:p w14:paraId="541DBE67" w14:textId="77777777" w:rsidR="00CB6136" w:rsidRDefault="00CB6136" w:rsidP="005F185D">
      <w:pPr>
        <w:pStyle w:val="Default"/>
        <w:rPr>
          <w:rFonts w:asciiTheme="minorHAnsi" w:hAnsiTheme="minorHAnsi"/>
          <w:bCs/>
          <w:sz w:val="22"/>
          <w:szCs w:val="22"/>
        </w:rPr>
      </w:pPr>
    </w:p>
    <w:p w14:paraId="091D31E3" w14:textId="51EC63EC" w:rsidR="00CB6136" w:rsidRDefault="00CB6136" w:rsidP="005F185D">
      <w:pPr>
        <w:pStyle w:val="Default"/>
        <w:rPr>
          <w:rFonts w:asciiTheme="minorHAnsi" w:hAnsiTheme="minorHAnsi"/>
          <w:sz w:val="22"/>
          <w:szCs w:val="22"/>
        </w:rPr>
      </w:pPr>
      <w:r>
        <w:rPr>
          <w:rFonts w:asciiTheme="minorHAnsi" w:hAnsiTheme="minorHAnsi"/>
          <w:bCs/>
          <w:sz w:val="22"/>
          <w:szCs w:val="22"/>
        </w:rPr>
        <w:t>When paper R</w:t>
      </w:r>
      <w:r w:rsidRPr="002D1280">
        <w:rPr>
          <w:rFonts w:asciiTheme="minorHAnsi" w:hAnsiTheme="minorHAnsi"/>
          <w:bCs/>
          <w:sz w:val="22"/>
          <w:szCs w:val="22"/>
        </w:rPr>
        <w:t xml:space="preserve">ecords are put in </w:t>
      </w:r>
      <w:r>
        <w:rPr>
          <w:rFonts w:asciiTheme="minorHAnsi" w:hAnsiTheme="minorHAnsi"/>
          <w:bCs/>
          <w:sz w:val="22"/>
          <w:szCs w:val="22"/>
        </w:rPr>
        <w:t xml:space="preserve">either </w:t>
      </w:r>
      <w:r w:rsidRPr="002D1280">
        <w:rPr>
          <w:rFonts w:asciiTheme="minorHAnsi" w:hAnsiTheme="minorHAnsi"/>
          <w:bCs/>
          <w:sz w:val="22"/>
          <w:szCs w:val="22"/>
        </w:rPr>
        <w:t>a</w:t>
      </w:r>
      <w:r>
        <w:rPr>
          <w:rFonts w:asciiTheme="minorHAnsi" w:hAnsiTheme="minorHAnsi"/>
          <w:bCs/>
          <w:sz w:val="22"/>
          <w:szCs w:val="22"/>
        </w:rPr>
        <w:t xml:space="preserve"> secure onsite or </w:t>
      </w:r>
      <w:r w:rsidRPr="002D1280">
        <w:rPr>
          <w:rFonts w:asciiTheme="minorHAnsi" w:hAnsiTheme="minorHAnsi"/>
          <w:bCs/>
          <w:sz w:val="22"/>
          <w:szCs w:val="22"/>
        </w:rPr>
        <w:t xml:space="preserve">offsite storage area, they must have a label indicating </w:t>
      </w:r>
      <w:r>
        <w:rPr>
          <w:rFonts w:asciiTheme="minorHAnsi" w:hAnsiTheme="minorHAnsi"/>
          <w:bCs/>
          <w:sz w:val="22"/>
          <w:szCs w:val="22"/>
        </w:rPr>
        <w:t>their contents</w:t>
      </w:r>
      <w:r w:rsidRPr="002D1280">
        <w:rPr>
          <w:rFonts w:asciiTheme="minorHAnsi" w:hAnsiTheme="minorHAnsi"/>
          <w:bCs/>
          <w:sz w:val="22"/>
          <w:szCs w:val="22"/>
        </w:rPr>
        <w:t>, the department and person responsible for them</w:t>
      </w:r>
      <w:r>
        <w:rPr>
          <w:rFonts w:asciiTheme="minorHAnsi" w:hAnsiTheme="minorHAnsi"/>
          <w:bCs/>
          <w:sz w:val="22"/>
          <w:szCs w:val="22"/>
        </w:rPr>
        <w:t>, a contact</w:t>
      </w:r>
      <w:r w:rsidRPr="002D1280">
        <w:rPr>
          <w:rFonts w:asciiTheme="minorHAnsi" w:hAnsiTheme="minorHAnsi"/>
          <w:bCs/>
          <w:sz w:val="22"/>
          <w:szCs w:val="22"/>
        </w:rPr>
        <w:t xml:space="preserve"> phone number</w:t>
      </w:r>
      <w:r>
        <w:rPr>
          <w:rFonts w:asciiTheme="minorHAnsi" w:hAnsiTheme="minorHAnsi"/>
          <w:bCs/>
          <w:sz w:val="22"/>
          <w:szCs w:val="22"/>
        </w:rPr>
        <w:t xml:space="preserve"> and email address</w:t>
      </w:r>
      <w:r w:rsidRPr="002D1280">
        <w:rPr>
          <w:rFonts w:asciiTheme="minorHAnsi" w:hAnsiTheme="minorHAnsi"/>
          <w:bCs/>
          <w:sz w:val="22"/>
          <w:szCs w:val="22"/>
        </w:rPr>
        <w:t>, and a “destroy by” date.</w:t>
      </w:r>
      <w:r>
        <w:rPr>
          <w:rStyle w:val="FootnoteReference"/>
          <w:rFonts w:asciiTheme="minorHAnsi" w:hAnsiTheme="minorHAnsi"/>
          <w:bCs/>
          <w:sz w:val="22"/>
          <w:szCs w:val="22"/>
        </w:rPr>
        <w:footnoteReference w:id="13"/>
      </w:r>
    </w:p>
    <w:p w14:paraId="71DD1FF7" w14:textId="77777777" w:rsidR="00CB6136" w:rsidRDefault="00CB6136" w:rsidP="005F185D">
      <w:pPr>
        <w:pStyle w:val="Default"/>
        <w:rPr>
          <w:rFonts w:asciiTheme="minorHAnsi" w:hAnsiTheme="minorHAnsi"/>
          <w:sz w:val="22"/>
          <w:szCs w:val="22"/>
        </w:rPr>
      </w:pPr>
    </w:p>
    <w:p w14:paraId="13805368" w14:textId="7C15F301" w:rsidR="00CB6136" w:rsidRDefault="00CB6136" w:rsidP="00CB6136">
      <w:pPr>
        <w:pStyle w:val="Default"/>
        <w:rPr>
          <w:rFonts w:asciiTheme="minorHAnsi" w:hAnsiTheme="minorHAnsi"/>
          <w:bCs/>
          <w:sz w:val="22"/>
          <w:szCs w:val="22"/>
        </w:rPr>
      </w:pPr>
      <w:r w:rsidRPr="00CB6136">
        <w:rPr>
          <w:rFonts w:asciiTheme="minorHAnsi" w:hAnsiTheme="minorHAnsi"/>
          <w:bCs/>
          <w:sz w:val="22"/>
          <w:szCs w:val="22"/>
        </w:rPr>
        <w:t>Each [</w:t>
      </w:r>
      <w:r w:rsidRPr="00CB6136">
        <w:rPr>
          <w:rFonts w:asciiTheme="minorHAnsi" w:hAnsiTheme="minorHAnsi"/>
          <w:bCs/>
          <w:sz w:val="22"/>
          <w:szCs w:val="22"/>
          <w:highlight w:val="yellow"/>
        </w:rPr>
        <w:t>month</w:t>
      </w:r>
      <w:r w:rsidRPr="00CB6136">
        <w:rPr>
          <w:rFonts w:asciiTheme="minorHAnsi" w:hAnsiTheme="minorHAnsi"/>
          <w:bCs/>
          <w:sz w:val="22"/>
          <w:szCs w:val="22"/>
        </w:rPr>
        <w:t>], the [</w:t>
      </w:r>
      <w:r w:rsidRPr="00CB6136">
        <w:rPr>
          <w:rFonts w:asciiTheme="minorHAnsi" w:hAnsiTheme="minorHAnsi"/>
          <w:bCs/>
          <w:sz w:val="22"/>
          <w:szCs w:val="22"/>
          <w:highlight w:val="yellow"/>
        </w:rPr>
        <w:t>chief operating officer</w:t>
      </w:r>
      <w:r w:rsidRPr="00CB6136">
        <w:rPr>
          <w:rFonts w:asciiTheme="minorHAnsi" w:hAnsiTheme="minorHAnsi"/>
          <w:bCs/>
          <w:sz w:val="22"/>
          <w:szCs w:val="22"/>
        </w:rPr>
        <w:t>]</w:t>
      </w:r>
      <w:r>
        <w:rPr>
          <w:rStyle w:val="FootnoteReference"/>
          <w:rFonts w:asciiTheme="minorHAnsi" w:hAnsiTheme="minorHAnsi"/>
          <w:bCs/>
          <w:sz w:val="22"/>
          <w:szCs w:val="22"/>
        </w:rPr>
        <w:footnoteReference w:id="14"/>
      </w:r>
      <w:r w:rsidRPr="00CB6136">
        <w:rPr>
          <w:rFonts w:asciiTheme="minorHAnsi" w:hAnsiTheme="minorHAnsi"/>
          <w:bCs/>
          <w:sz w:val="22"/>
          <w:szCs w:val="22"/>
        </w:rPr>
        <w:t xml:space="preserve"> will review a list of all Records that have reached the destruction date, and will confirm that the Records can be destroyed, to ensure </w:t>
      </w:r>
      <w:r w:rsidR="00766E57">
        <w:rPr>
          <w:rFonts w:asciiTheme="minorHAnsi" w:hAnsiTheme="minorHAnsi"/>
          <w:bCs/>
          <w:sz w:val="22"/>
          <w:szCs w:val="22"/>
        </w:rPr>
        <w:t xml:space="preserve">CAA’s </w:t>
      </w:r>
      <w:r w:rsidRPr="00CB6136">
        <w:rPr>
          <w:rFonts w:asciiTheme="minorHAnsi" w:hAnsiTheme="minorHAnsi"/>
          <w:bCs/>
          <w:sz w:val="22"/>
          <w:szCs w:val="22"/>
        </w:rPr>
        <w:t>continued ability to produce Records for known investigations or litigation.</w:t>
      </w:r>
    </w:p>
    <w:p w14:paraId="173E8F3F" w14:textId="77777777" w:rsidR="00CB6136" w:rsidRPr="00CB6136" w:rsidRDefault="00CB6136" w:rsidP="00CB6136">
      <w:pPr>
        <w:pStyle w:val="Default"/>
        <w:rPr>
          <w:rFonts w:asciiTheme="minorHAnsi" w:hAnsiTheme="minorHAnsi"/>
          <w:bCs/>
          <w:sz w:val="22"/>
          <w:szCs w:val="22"/>
        </w:rPr>
      </w:pPr>
    </w:p>
    <w:p w14:paraId="4C1E4921" w14:textId="1222B472" w:rsidR="00CC56AD" w:rsidRDefault="00CB6136" w:rsidP="00CB6136">
      <w:pPr>
        <w:pStyle w:val="Default"/>
        <w:rPr>
          <w:rFonts w:asciiTheme="minorHAnsi" w:hAnsiTheme="minorHAnsi"/>
          <w:bCs/>
          <w:sz w:val="22"/>
          <w:szCs w:val="22"/>
        </w:rPr>
      </w:pPr>
      <w:r w:rsidRPr="00CB6136">
        <w:rPr>
          <w:rFonts w:asciiTheme="minorHAnsi" w:hAnsiTheme="minorHAnsi"/>
          <w:bCs/>
          <w:sz w:val="22"/>
          <w:szCs w:val="22"/>
        </w:rPr>
        <w:t>If an outside vendor for storage and/or destruction of Records</w:t>
      </w:r>
      <w:r>
        <w:rPr>
          <w:rFonts w:asciiTheme="minorHAnsi" w:hAnsiTheme="minorHAnsi"/>
          <w:bCs/>
          <w:sz w:val="22"/>
          <w:szCs w:val="22"/>
        </w:rPr>
        <w:t xml:space="preserve"> is used</w:t>
      </w:r>
      <w:r w:rsidRPr="00CB6136">
        <w:rPr>
          <w:rFonts w:asciiTheme="minorHAnsi" w:hAnsiTheme="minorHAnsi"/>
          <w:bCs/>
          <w:sz w:val="22"/>
          <w:szCs w:val="22"/>
        </w:rPr>
        <w:t>, after approval for destruction, the Records storage vendor shall shred or otherwise destroy the noted Records and provide a certificate of destruction in accordance with this Policy.</w:t>
      </w:r>
      <w:r>
        <w:rPr>
          <w:rFonts w:asciiTheme="minorHAnsi" w:hAnsiTheme="minorHAnsi"/>
          <w:bCs/>
          <w:sz w:val="22"/>
          <w:szCs w:val="22"/>
        </w:rPr>
        <w:t xml:space="preserve"> D</w:t>
      </w:r>
      <w:r w:rsidRPr="00CB6136">
        <w:rPr>
          <w:rFonts w:asciiTheme="minorHAnsi" w:hAnsiTheme="minorHAnsi"/>
          <w:bCs/>
          <w:sz w:val="22"/>
          <w:szCs w:val="22"/>
        </w:rPr>
        <w:t>estruction of electronic Records shall utilize a method to ensure the electronic Records are completely destroyed and not retrievable from any storage media</w:t>
      </w:r>
    </w:p>
    <w:p w14:paraId="1CB07548" w14:textId="77777777" w:rsidR="00CB6136" w:rsidRPr="002D1280" w:rsidRDefault="00CB6136" w:rsidP="003D003D">
      <w:pPr>
        <w:pStyle w:val="Default"/>
        <w:rPr>
          <w:rFonts w:asciiTheme="minorHAnsi" w:hAnsiTheme="minorHAnsi"/>
          <w:sz w:val="22"/>
          <w:szCs w:val="22"/>
        </w:rPr>
      </w:pPr>
    </w:p>
    <w:p w14:paraId="0A3E2835" w14:textId="20BBF598" w:rsidR="00CB6136" w:rsidRDefault="00CB6136" w:rsidP="00906A10">
      <w:pPr>
        <w:pStyle w:val="Default"/>
        <w:rPr>
          <w:rFonts w:asciiTheme="minorHAnsi" w:hAnsiTheme="minorHAnsi"/>
          <w:bCs/>
          <w:sz w:val="22"/>
          <w:szCs w:val="22"/>
        </w:rPr>
      </w:pPr>
      <w:r w:rsidRPr="002D1280">
        <w:rPr>
          <w:rFonts w:asciiTheme="minorHAnsi" w:hAnsiTheme="minorHAnsi"/>
          <w:b/>
          <w:bCs/>
          <w:i/>
          <w:sz w:val="22"/>
          <w:szCs w:val="22"/>
        </w:rPr>
        <w:t>Litigation Holds</w:t>
      </w:r>
      <w:r>
        <w:rPr>
          <w:rFonts w:asciiTheme="minorHAnsi" w:hAnsiTheme="minorHAnsi"/>
          <w:b/>
          <w:bCs/>
          <w:i/>
          <w:sz w:val="22"/>
          <w:szCs w:val="22"/>
        </w:rPr>
        <w:t xml:space="preserve">. </w:t>
      </w:r>
      <w:r w:rsidRPr="002D1280">
        <w:rPr>
          <w:rFonts w:asciiTheme="minorHAnsi" w:hAnsiTheme="minorHAnsi"/>
          <w:bCs/>
          <w:sz w:val="22"/>
          <w:szCs w:val="22"/>
        </w:rPr>
        <w:t xml:space="preserve"> </w:t>
      </w:r>
      <w:r w:rsidR="00CC56AD" w:rsidRPr="002D1280">
        <w:rPr>
          <w:rFonts w:asciiTheme="minorHAnsi" w:hAnsiTheme="minorHAnsi"/>
          <w:bCs/>
          <w:sz w:val="22"/>
          <w:szCs w:val="22"/>
        </w:rPr>
        <w:t xml:space="preserve">No </w:t>
      </w:r>
      <w:r w:rsidR="00BA216A">
        <w:rPr>
          <w:rFonts w:asciiTheme="minorHAnsi" w:hAnsiTheme="minorHAnsi"/>
          <w:bCs/>
          <w:sz w:val="22"/>
          <w:szCs w:val="22"/>
        </w:rPr>
        <w:t>Record</w:t>
      </w:r>
      <w:r w:rsidR="00CC56AD" w:rsidRPr="002D1280">
        <w:rPr>
          <w:rFonts w:asciiTheme="minorHAnsi" w:hAnsiTheme="minorHAnsi"/>
          <w:bCs/>
          <w:sz w:val="22"/>
          <w:szCs w:val="22"/>
        </w:rPr>
        <w:t xml:space="preserve"> that relates to any </w:t>
      </w:r>
      <w:r w:rsidR="00763BCD">
        <w:rPr>
          <w:rFonts w:asciiTheme="minorHAnsi" w:hAnsiTheme="minorHAnsi"/>
          <w:bCs/>
          <w:sz w:val="22"/>
          <w:szCs w:val="22"/>
        </w:rPr>
        <w:t xml:space="preserve">threatened or </w:t>
      </w:r>
      <w:r w:rsidR="00CC56AD" w:rsidRPr="002D1280">
        <w:rPr>
          <w:rFonts w:asciiTheme="minorHAnsi" w:hAnsiTheme="minorHAnsi"/>
          <w:bCs/>
          <w:sz w:val="22"/>
          <w:szCs w:val="22"/>
        </w:rPr>
        <w:t xml:space="preserve">pending litigation, claims, audits, or investigations involving the CAA may be destroyed. All such </w:t>
      </w:r>
      <w:r w:rsidR="00BA216A">
        <w:rPr>
          <w:rFonts w:asciiTheme="minorHAnsi" w:hAnsiTheme="minorHAnsi"/>
          <w:bCs/>
          <w:sz w:val="22"/>
          <w:szCs w:val="22"/>
        </w:rPr>
        <w:t>Records</w:t>
      </w:r>
      <w:r w:rsidR="00CC56AD" w:rsidRPr="002D1280">
        <w:rPr>
          <w:rFonts w:asciiTheme="minorHAnsi" w:hAnsiTheme="minorHAnsi"/>
          <w:bCs/>
          <w:sz w:val="22"/>
          <w:szCs w:val="22"/>
        </w:rPr>
        <w:t xml:space="preserve"> must be retained until those matters are completed. In addition, a document shall not be knowingly destroyed with the inte</w:t>
      </w:r>
      <w:r w:rsidR="0056055F">
        <w:rPr>
          <w:rFonts w:asciiTheme="minorHAnsi" w:hAnsiTheme="minorHAnsi"/>
          <w:bCs/>
          <w:sz w:val="22"/>
          <w:szCs w:val="22"/>
        </w:rPr>
        <w:t xml:space="preserve">nt to obstruct or influence any actual, threatened, or pending investigation </w:t>
      </w:r>
      <w:r w:rsidR="00CC56AD" w:rsidRPr="002D1280">
        <w:rPr>
          <w:rFonts w:asciiTheme="minorHAnsi" w:hAnsiTheme="minorHAnsi"/>
          <w:bCs/>
          <w:sz w:val="22"/>
          <w:szCs w:val="22"/>
        </w:rPr>
        <w:t xml:space="preserve">of any matter within the jurisdiction of any </w:t>
      </w:r>
      <w:r w:rsidR="0056055F">
        <w:rPr>
          <w:rFonts w:asciiTheme="minorHAnsi" w:hAnsiTheme="minorHAnsi"/>
          <w:bCs/>
          <w:sz w:val="22"/>
          <w:szCs w:val="22"/>
        </w:rPr>
        <w:t xml:space="preserve">federal </w:t>
      </w:r>
      <w:r w:rsidR="00CC56AD" w:rsidRPr="002D1280">
        <w:rPr>
          <w:rFonts w:asciiTheme="minorHAnsi" w:hAnsiTheme="minorHAnsi"/>
          <w:bCs/>
          <w:sz w:val="22"/>
          <w:szCs w:val="22"/>
        </w:rPr>
        <w:t>department or agency.</w:t>
      </w:r>
      <w:r w:rsidR="00CC56AD">
        <w:rPr>
          <w:rStyle w:val="FootnoteReference"/>
          <w:rFonts w:asciiTheme="minorHAnsi" w:hAnsiTheme="minorHAnsi"/>
          <w:bCs/>
          <w:sz w:val="22"/>
          <w:szCs w:val="22"/>
        </w:rPr>
        <w:footnoteReference w:id="15"/>
      </w:r>
      <w:r w:rsidR="00766E57">
        <w:rPr>
          <w:rFonts w:asciiTheme="minorHAnsi" w:hAnsiTheme="minorHAnsi"/>
          <w:bCs/>
          <w:sz w:val="22"/>
          <w:szCs w:val="22"/>
        </w:rPr>
        <w:t xml:space="preserve"> </w:t>
      </w:r>
      <w:r w:rsidR="00766E57" w:rsidRPr="00766E57">
        <w:rPr>
          <w:rFonts w:asciiTheme="minorHAnsi" w:hAnsiTheme="minorHAnsi"/>
          <w:bCs/>
          <w:sz w:val="22"/>
          <w:szCs w:val="22"/>
        </w:rPr>
        <w:t>FAILURE TO COMPLY WITH A L</w:t>
      </w:r>
      <w:r w:rsidR="00766E57">
        <w:rPr>
          <w:rFonts w:asciiTheme="minorHAnsi" w:hAnsiTheme="minorHAnsi"/>
          <w:bCs/>
          <w:sz w:val="22"/>
          <w:szCs w:val="22"/>
        </w:rPr>
        <w:t>ITIGATION</w:t>
      </w:r>
      <w:r w:rsidR="00766E57" w:rsidRPr="00766E57">
        <w:rPr>
          <w:rFonts w:asciiTheme="minorHAnsi" w:hAnsiTheme="minorHAnsi"/>
          <w:bCs/>
          <w:sz w:val="22"/>
          <w:szCs w:val="22"/>
        </w:rPr>
        <w:t xml:space="preserve"> HOLD MAY RESULT IN SIGNIFICANT RISK, EXPOSURE OR LIABILITY TO </w:t>
      </w:r>
      <w:r w:rsidR="00766E57">
        <w:rPr>
          <w:rFonts w:asciiTheme="minorHAnsi" w:hAnsiTheme="minorHAnsi"/>
          <w:bCs/>
          <w:sz w:val="22"/>
          <w:szCs w:val="22"/>
        </w:rPr>
        <w:t>CAA</w:t>
      </w:r>
      <w:r w:rsidR="00766E57" w:rsidRPr="00766E57">
        <w:rPr>
          <w:rFonts w:asciiTheme="minorHAnsi" w:hAnsiTheme="minorHAnsi"/>
          <w:bCs/>
          <w:sz w:val="22"/>
          <w:szCs w:val="22"/>
        </w:rPr>
        <w:t>.</w:t>
      </w:r>
    </w:p>
    <w:p w14:paraId="4AF0B59A" w14:textId="77777777" w:rsidR="00CB6136" w:rsidRDefault="00CB6136" w:rsidP="00906A10">
      <w:pPr>
        <w:pStyle w:val="Default"/>
        <w:rPr>
          <w:rFonts w:asciiTheme="minorHAnsi" w:hAnsiTheme="minorHAnsi"/>
          <w:bCs/>
          <w:sz w:val="22"/>
          <w:szCs w:val="22"/>
        </w:rPr>
      </w:pPr>
    </w:p>
    <w:p w14:paraId="0787A4BC" w14:textId="0D993E1E" w:rsidR="00CC56AD" w:rsidRPr="002D1280" w:rsidRDefault="00CC56AD" w:rsidP="00906A10">
      <w:pPr>
        <w:pStyle w:val="Default"/>
        <w:rPr>
          <w:rFonts w:asciiTheme="minorHAnsi" w:hAnsiTheme="minorHAnsi"/>
          <w:bCs/>
          <w:sz w:val="22"/>
          <w:szCs w:val="22"/>
        </w:rPr>
      </w:pPr>
      <w:r w:rsidRPr="002D1280">
        <w:rPr>
          <w:rFonts w:asciiTheme="minorHAnsi" w:hAnsiTheme="minorHAnsi"/>
          <w:b/>
          <w:bCs/>
          <w:i/>
          <w:sz w:val="22"/>
          <w:szCs w:val="22"/>
        </w:rPr>
        <w:t>Failure to Comply</w:t>
      </w:r>
      <w:r w:rsidRPr="002D1280">
        <w:rPr>
          <w:rFonts w:asciiTheme="minorHAnsi" w:hAnsiTheme="minorHAnsi"/>
          <w:bCs/>
          <w:sz w:val="22"/>
          <w:szCs w:val="22"/>
        </w:rPr>
        <w:t>.</w:t>
      </w:r>
      <w:r w:rsidRPr="002D1280">
        <w:rPr>
          <w:rStyle w:val="FootnoteReference"/>
          <w:rFonts w:asciiTheme="minorHAnsi" w:hAnsiTheme="minorHAnsi"/>
          <w:bCs/>
          <w:sz w:val="22"/>
          <w:szCs w:val="22"/>
        </w:rPr>
        <w:footnoteReference w:id="16"/>
      </w:r>
      <w:r w:rsidRPr="002D1280">
        <w:rPr>
          <w:rFonts w:asciiTheme="minorHAnsi" w:hAnsiTheme="minorHAnsi"/>
          <w:bCs/>
          <w:sz w:val="22"/>
          <w:szCs w:val="22"/>
        </w:rPr>
        <w:t xml:space="preserve"> </w:t>
      </w:r>
      <w:r w:rsidRPr="002D1280">
        <w:rPr>
          <w:rFonts w:asciiTheme="minorHAnsi" w:hAnsiTheme="minorHAnsi"/>
          <w:sz w:val="22"/>
          <w:szCs w:val="22"/>
        </w:rPr>
        <w:t xml:space="preserve">Failure to </w:t>
      </w:r>
      <w:r w:rsidR="00C52235">
        <w:rPr>
          <w:rFonts w:asciiTheme="minorHAnsi" w:hAnsiTheme="minorHAnsi"/>
          <w:sz w:val="22"/>
          <w:szCs w:val="22"/>
        </w:rPr>
        <w:t>comply with this Policy</w:t>
      </w:r>
      <w:r w:rsidRPr="002D1280">
        <w:rPr>
          <w:rFonts w:asciiTheme="minorHAnsi" w:hAnsiTheme="minorHAnsi"/>
          <w:sz w:val="22"/>
          <w:szCs w:val="22"/>
        </w:rPr>
        <w:t xml:space="preserve">, including the knowing destruction of or obstruction of access to </w:t>
      </w:r>
      <w:r w:rsidR="00BA216A">
        <w:rPr>
          <w:rFonts w:asciiTheme="minorHAnsi" w:hAnsiTheme="minorHAnsi"/>
          <w:sz w:val="22"/>
          <w:szCs w:val="22"/>
        </w:rPr>
        <w:t>Records</w:t>
      </w:r>
      <w:r w:rsidRPr="002D1280">
        <w:rPr>
          <w:rFonts w:asciiTheme="minorHAnsi" w:hAnsiTheme="minorHAnsi"/>
          <w:sz w:val="22"/>
          <w:szCs w:val="22"/>
        </w:rPr>
        <w:t xml:space="preserve"> required to be retained and/or accessible pursuant to this </w:t>
      </w:r>
      <w:r w:rsidR="002943DE">
        <w:rPr>
          <w:rFonts w:asciiTheme="minorHAnsi" w:hAnsiTheme="minorHAnsi"/>
          <w:sz w:val="22"/>
          <w:szCs w:val="22"/>
        </w:rPr>
        <w:t>P</w:t>
      </w:r>
      <w:r w:rsidRPr="002D1280">
        <w:rPr>
          <w:rFonts w:asciiTheme="minorHAnsi" w:hAnsiTheme="minorHAnsi"/>
          <w:sz w:val="22"/>
          <w:szCs w:val="22"/>
        </w:rPr>
        <w:t>olicy, may result in disciplinary action, litigation, and/or civil and criminal penalties.</w:t>
      </w:r>
    </w:p>
    <w:p w14:paraId="2B42A9C6" w14:textId="77777777" w:rsidR="0056055F" w:rsidRDefault="0056055F" w:rsidP="00A905FB">
      <w:pPr>
        <w:pStyle w:val="Default"/>
        <w:rPr>
          <w:rFonts w:asciiTheme="minorHAnsi" w:hAnsiTheme="minorHAnsi"/>
          <w:bCs/>
          <w:sz w:val="22"/>
          <w:szCs w:val="22"/>
        </w:rPr>
      </w:pPr>
    </w:p>
    <w:p w14:paraId="73218B11" w14:textId="77777777" w:rsidR="00CC56AD" w:rsidRPr="002D1280" w:rsidRDefault="00CC56AD" w:rsidP="0092654C">
      <w:pPr>
        <w:autoSpaceDE w:val="0"/>
        <w:autoSpaceDN w:val="0"/>
        <w:adjustRightInd w:val="0"/>
        <w:rPr>
          <w:rFonts w:asciiTheme="minorHAnsi" w:hAnsiTheme="minorHAnsi"/>
          <w:b/>
          <w:bCs/>
          <w:i/>
          <w:color w:val="000000"/>
          <w:sz w:val="22"/>
          <w:szCs w:val="22"/>
        </w:rPr>
      </w:pPr>
      <w:r w:rsidRPr="002D1280">
        <w:rPr>
          <w:rFonts w:asciiTheme="minorHAnsi" w:hAnsiTheme="minorHAnsi"/>
          <w:b/>
          <w:bCs/>
          <w:i/>
          <w:color w:val="000000"/>
          <w:sz w:val="22"/>
          <w:szCs w:val="22"/>
        </w:rPr>
        <w:t>Specific Record Retention Requirements</w:t>
      </w:r>
      <w:r w:rsidRPr="002D1280">
        <w:rPr>
          <w:rStyle w:val="FootnoteReference"/>
          <w:rFonts w:asciiTheme="minorHAnsi" w:hAnsiTheme="minorHAnsi"/>
          <w:bCs/>
          <w:color w:val="000000"/>
          <w:sz w:val="22"/>
          <w:szCs w:val="22"/>
        </w:rPr>
        <w:footnoteReference w:id="17"/>
      </w:r>
    </w:p>
    <w:p w14:paraId="68E0F2CD" w14:textId="3CE960D0" w:rsidR="0051365E" w:rsidRDefault="00913FFD" w:rsidP="0092654C">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 xml:space="preserve">In this section, the retention periods are in year increments and the </w:t>
      </w:r>
      <w:r w:rsidR="0051365E">
        <w:rPr>
          <w:rFonts w:asciiTheme="minorHAnsi" w:hAnsiTheme="minorHAnsi"/>
          <w:bCs/>
          <w:color w:val="000000"/>
          <w:sz w:val="22"/>
          <w:szCs w:val="22"/>
        </w:rPr>
        <w:t xml:space="preserve">“P” denotes that the </w:t>
      </w:r>
      <w:r w:rsidR="00BA216A">
        <w:rPr>
          <w:rFonts w:asciiTheme="minorHAnsi" w:hAnsiTheme="minorHAnsi"/>
          <w:bCs/>
          <w:color w:val="000000"/>
          <w:sz w:val="22"/>
          <w:szCs w:val="22"/>
        </w:rPr>
        <w:t>Record</w:t>
      </w:r>
      <w:r w:rsidR="0051365E">
        <w:rPr>
          <w:rFonts w:asciiTheme="minorHAnsi" w:hAnsiTheme="minorHAnsi"/>
          <w:bCs/>
          <w:color w:val="000000"/>
          <w:sz w:val="22"/>
          <w:szCs w:val="22"/>
        </w:rPr>
        <w:t xml:space="preserve"> is to be kept permanently.</w:t>
      </w:r>
    </w:p>
    <w:p w14:paraId="22CEC963" w14:textId="77777777" w:rsidR="00F3232C" w:rsidRPr="00F474BA" w:rsidRDefault="00F3232C" w:rsidP="0092654C">
      <w:pPr>
        <w:autoSpaceDE w:val="0"/>
        <w:autoSpaceDN w:val="0"/>
        <w:adjustRightInd w:val="0"/>
        <w:rPr>
          <w:rFonts w:asciiTheme="minorHAnsi" w:hAnsiTheme="minorHAnsi"/>
          <w:bCs/>
          <w:color w:val="000000"/>
          <w:sz w:val="22"/>
          <w:szCs w:val="22"/>
        </w:rPr>
      </w:pPr>
    </w:p>
    <w:p w14:paraId="6C174CC4" w14:textId="4F51F745" w:rsidR="00CC56AD" w:rsidRPr="00837032" w:rsidRDefault="00CC56AD" w:rsidP="0092654C">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Corporate Records</w:t>
      </w:r>
      <w:r w:rsidR="00571A79">
        <w:rPr>
          <w:rFonts w:asciiTheme="minorHAnsi" w:hAnsiTheme="minorHAnsi"/>
          <w:bCs/>
          <w:color w:val="000000"/>
          <w:sz w:val="22"/>
          <w:szCs w:val="22"/>
          <w:u w:val="single"/>
        </w:rPr>
        <w:t>/General Operations</w:t>
      </w:r>
      <w:r w:rsidRPr="00837032">
        <w:rPr>
          <w:rFonts w:asciiTheme="minorHAnsi" w:hAnsiTheme="minorHAnsi"/>
          <w:bCs/>
          <w:color w:val="000000"/>
          <w:sz w:val="22"/>
          <w:szCs w:val="22"/>
          <w:u w:val="single"/>
        </w:rPr>
        <w:t xml:space="preserve"> </w:t>
      </w:r>
    </w:p>
    <w:p w14:paraId="787BBA05" w14:textId="59B1938C" w:rsidR="00D72CF0" w:rsidRDefault="00D528CD" w:rsidP="0092654C">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Pr>
          <w:rFonts w:asciiTheme="minorHAnsi" w:hAnsiTheme="minorHAnsi"/>
          <w:bCs/>
          <w:color w:val="000000"/>
          <w:sz w:val="22"/>
          <w:szCs w:val="22"/>
        </w:rPr>
        <w:t xml:space="preserve"> shall be retained by the Legal </w:t>
      </w:r>
      <w:r w:rsidR="00942EA1">
        <w:rPr>
          <w:rFonts w:asciiTheme="minorHAnsi" w:hAnsiTheme="minorHAnsi"/>
          <w:bCs/>
          <w:color w:val="000000"/>
          <w:sz w:val="22"/>
          <w:szCs w:val="22"/>
        </w:rPr>
        <w:t xml:space="preserve">or Operations </w:t>
      </w:r>
      <w:r w:rsidR="00913FFD">
        <w:rPr>
          <w:rFonts w:asciiTheme="minorHAnsi" w:hAnsiTheme="minorHAnsi"/>
          <w:bCs/>
          <w:color w:val="000000"/>
          <w:sz w:val="22"/>
          <w:szCs w:val="22"/>
        </w:rPr>
        <w:t>department. The</w:t>
      </w:r>
      <w:r w:rsidRPr="00D528CD">
        <w:rPr>
          <w:rFonts w:asciiTheme="minorHAnsi" w:hAnsiTheme="minorHAnsi"/>
          <w:bCs/>
          <w:color w:val="000000"/>
          <w:sz w:val="22"/>
          <w:szCs w:val="22"/>
        </w:rPr>
        <w:t xml:space="preserve"> </w:t>
      </w:r>
      <w:r w:rsidR="00BA216A">
        <w:rPr>
          <w:rFonts w:asciiTheme="minorHAnsi" w:hAnsiTheme="minorHAnsi"/>
          <w:bCs/>
          <w:color w:val="000000"/>
          <w:sz w:val="22"/>
          <w:szCs w:val="22"/>
        </w:rPr>
        <w:t>Record</w:t>
      </w:r>
      <w:r w:rsidRPr="00D528CD">
        <w:rPr>
          <w:rFonts w:asciiTheme="minorHAnsi" w:hAnsiTheme="minorHAnsi"/>
          <w:bCs/>
          <w:color w:val="000000"/>
          <w:sz w:val="22"/>
          <w:szCs w:val="22"/>
        </w:rPr>
        <w:t xml:space="preserve"> retention period shall begin after the termination date</w:t>
      </w:r>
      <w:r w:rsidR="00B4170E">
        <w:rPr>
          <w:rFonts w:asciiTheme="minorHAnsi" w:hAnsiTheme="minorHAnsi"/>
          <w:bCs/>
          <w:color w:val="000000"/>
          <w:sz w:val="22"/>
          <w:szCs w:val="22"/>
        </w:rPr>
        <w:t>/expiration (T)</w:t>
      </w:r>
      <w:r w:rsidRPr="00D528CD">
        <w:rPr>
          <w:rFonts w:asciiTheme="minorHAnsi" w:hAnsiTheme="minorHAnsi"/>
          <w:bCs/>
          <w:color w:val="000000"/>
          <w:sz w:val="22"/>
          <w:szCs w:val="22"/>
        </w:rPr>
        <w:t xml:space="preserve"> of the</w:t>
      </w:r>
      <w:r w:rsidR="00913FFD">
        <w:rPr>
          <w:rFonts w:asciiTheme="minorHAnsi" w:hAnsiTheme="minorHAnsi"/>
          <w:bCs/>
          <w:color w:val="000000"/>
          <w:sz w:val="22"/>
          <w:szCs w:val="22"/>
        </w:rPr>
        <w:t xml:space="preserve"> </w:t>
      </w:r>
      <w:r w:rsidR="00BA216A">
        <w:rPr>
          <w:rFonts w:asciiTheme="minorHAnsi" w:hAnsiTheme="minorHAnsi"/>
          <w:bCs/>
          <w:color w:val="000000"/>
          <w:sz w:val="22"/>
          <w:szCs w:val="22"/>
        </w:rPr>
        <w:t>Record</w:t>
      </w:r>
      <w:r w:rsidR="002F2571">
        <w:rPr>
          <w:rFonts w:asciiTheme="minorHAnsi" w:hAnsiTheme="minorHAnsi"/>
          <w:bCs/>
          <w:color w:val="000000"/>
          <w:sz w:val="22"/>
          <w:szCs w:val="22"/>
        </w:rPr>
        <w:t>,</w:t>
      </w:r>
      <w:r w:rsidR="00913FFD">
        <w:rPr>
          <w:rFonts w:asciiTheme="minorHAnsi" w:hAnsiTheme="minorHAnsi"/>
          <w:bCs/>
          <w:color w:val="000000"/>
          <w:sz w:val="22"/>
          <w:szCs w:val="22"/>
        </w:rPr>
        <w:t xml:space="preserve"> unless noted</w:t>
      </w:r>
      <w:r w:rsidR="002F2571">
        <w:rPr>
          <w:rFonts w:asciiTheme="minorHAnsi" w:hAnsiTheme="minorHAnsi"/>
          <w:bCs/>
          <w:color w:val="000000"/>
          <w:sz w:val="22"/>
          <w:szCs w:val="22"/>
        </w:rPr>
        <w:t xml:space="preserve"> otherwise</w:t>
      </w:r>
      <w:r w:rsidRPr="00D528CD">
        <w:rPr>
          <w:rFonts w:asciiTheme="minorHAnsi" w:hAnsiTheme="minorHAnsi"/>
          <w:bCs/>
          <w:color w:val="000000"/>
          <w:sz w:val="22"/>
          <w:szCs w:val="22"/>
        </w:rPr>
        <w:t>:</w:t>
      </w:r>
      <w:r>
        <w:rPr>
          <w:rStyle w:val="FootnoteReference"/>
          <w:rFonts w:asciiTheme="minorHAnsi" w:hAnsiTheme="minorHAnsi"/>
          <w:bCs/>
          <w:color w:val="000000"/>
          <w:sz w:val="22"/>
          <w:szCs w:val="22"/>
        </w:rPr>
        <w:footnoteReference w:id="18"/>
      </w:r>
      <w:r w:rsidRPr="00D528CD">
        <w:rPr>
          <w:rFonts w:asciiTheme="minorHAnsi" w:hAnsiTheme="minorHAnsi"/>
          <w:bCs/>
          <w:color w:val="000000"/>
          <w:sz w:val="22"/>
          <w:szCs w:val="22"/>
        </w:rPr>
        <w:t xml:space="preserve">  </w:t>
      </w:r>
    </w:p>
    <w:p w14:paraId="057AFF24" w14:textId="77777777" w:rsidR="00CC56AD" w:rsidRDefault="00CC56AD" w:rsidP="0092654C">
      <w:pPr>
        <w:autoSpaceDE w:val="0"/>
        <w:autoSpaceDN w:val="0"/>
        <w:adjustRightInd w:val="0"/>
        <w:rPr>
          <w:rFonts w:asciiTheme="minorHAnsi" w:hAnsiTheme="minorHAnsi"/>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2739BD" w14:paraId="3F43329E"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0846F7BD" w14:textId="77777777" w:rsidR="002739BD" w:rsidRDefault="002739BD" w:rsidP="002739BD">
            <w:pPr>
              <w:autoSpaceDE w:val="0"/>
              <w:autoSpaceDN w:val="0"/>
              <w:adjustRightInd w:val="0"/>
              <w:rPr>
                <w:rFonts w:asciiTheme="minorHAnsi" w:hAnsiTheme="minorHAnsi"/>
                <w:b w:val="0"/>
                <w:bCs w:val="0"/>
                <w:color w:val="000000"/>
                <w:sz w:val="22"/>
                <w:szCs w:val="22"/>
              </w:rPr>
            </w:pPr>
          </w:p>
        </w:tc>
        <w:tc>
          <w:tcPr>
            <w:tcW w:w="1784" w:type="dxa"/>
          </w:tcPr>
          <w:p w14:paraId="259AD0A6" w14:textId="77777777" w:rsidR="002739BD" w:rsidRDefault="002739BD" w:rsidP="002739B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2739BD" w14:paraId="714F36A7" w14:textId="77777777" w:rsidTr="00D72CF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368" w:type="dxa"/>
          </w:tcPr>
          <w:p w14:paraId="0FF9A7BA" w14:textId="4340876F" w:rsidR="002739BD" w:rsidRPr="00D72CF0" w:rsidRDefault="002739BD" w:rsidP="00BA216A">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Annual </w:t>
            </w:r>
            <w:r w:rsidR="00BA216A" w:rsidRPr="00D72CF0">
              <w:rPr>
                <w:rFonts w:asciiTheme="minorHAnsi" w:hAnsiTheme="minorHAnsi"/>
                <w:b w:val="0"/>
                <w:color w:val="000000"/>
                <w:sz w:val="22"/>
                <w:szCs w:val="22"/>
              </w:rPr>
              <w:t>r</w:t>
            </w:r>
            <w:r w:rsidRPr="00D72CF0">
              <w:rPr>
                <w:rFonts w:asciiTheme="minorHAnsi" w:hAnsiTheme="minorHAnsi"/>
                <w:b w:val="0"/>
                <w:color w:val="000000"/>
                <w:sz w:val="22"/>
                <w:szCs w:val="22"/>
              </w:rPr>
              <w:t>eports filed with Secretary of State for [</w:t>
            </w:r>
            <w:r w:rsidRPr="00D72CF0">
              <w:rPr>
                <w:rFonts w:asciiTheme="minorHAnsi" w:hAnsiTheme="minorHAnsi"/>
                <w:b w:val="0"/>
                <w:color w:val="000000"/>
                <w:sz w:val="22"/>
                <w:szCs w:val="22"/>
                <w:highlight w:val="yellow"/>
              </w:rPr>
              <w:t>Name of State</w:t>
            </w:r>
            <w:r w:rsidRPr="00D72CF0">
              <w:rPr>
                <w:rFonts w:asciiTheme="minorHAnsi" w:hAnsiTheme="minorHAnsi"/>
                <w:b w:val="0"/>
                <w:color w:val="000000"/>
                <w:sz w:val="22"/>
                <w:szCs w:val="22"/>
              </w:rPr>
              <w:t>]</w:t>
            </w:r>
          </w:p>
        </w:tc>
        <w:tc>
          <w:tcPr>
            <w:tcW w:w="1784" w:type="dxa"/>
          </w:tcPr>
          <w:p w14:paraId="77A43341" w14:textId="4FF75811" w:rsidR="002739BD" w:rsidRPr="00CD5000" w:rsidRDefault="002739BD"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2739BD" w14:paraId="6BF85902" w14:textId="77777777" w:rsidTr="00D72CF0">
        <w:trPr>
          <w:trHeight w:val="351"/>
        </w:trPr>
        <w:tc>
          <w:tcPr>
            <w:cnfStyle w:val="001000000000" w:firstRow="0" w:lastRow="0" w:firstColumn="1" w:lastColumn="0" w:oddVBand="0" w:evenVBand="0" w:oddHBand="0" w:evenHBand="0" w:firstRowFirstColumn="0" w:firstRowLastColumn="0" w:lastRowFirstColumn="0" w:lastRowLastColumn="0"/>
            <w:tcW w:w="6368" w:type="dxa"/>
          </w:tcPr>
          <w:p w14:paraId="06F09032" w14:textId="7FEAC366" w:rsidR="002739BD"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Articles of Incorporation and a</w:t>
            </w:r>
            <w:r w:rsidR="002739BD" w:rsidRPr="00D72CF0">
              <w:rPr>
                <w:rFonts w:asciiTheme="minorHAnsi" w:hAnsiTheme="minorHAnsi"/>
                <w:b w:val="0"/>
                <w:color w:val="000000"/>
                <w:sz w:val="22"/>
                <w:szCs w:val="22"/>
              </w:rPr>
              <w:t xml:space="preserve">mendments </w:t>
            </w:r>
          </w:p>
        </w:tc>
        <w:tc>
          <w:tcPr>
            <w:tcW w:w="1784" w:type="dxa"/>
          </w:tcPr>
          <w:p w14:paraId="55D87474" w14:textId="5EFA75EA" w:rsidR="002739BD" w:rsidRPr="00CD5000" w:rsidRDefault="002739BD"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2739BD" w14:paraId="2A2DF084" w14:textId="77777777" w:rsidTr="00D72CF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368" w:type="dxa"/>
          </w:tcPr>
          <w:p w14:paraId="317B9DE2" w14:textId="6C572905" w:rsidR="002739BD" w:rsidRPr="00D72CF0" w:rsidRDefault="002739BD" w:rsidP="00BA216A">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Bylaws and amendments</w:t>
            </w:r>
            <w:r w:rsidRPr="00D72CF0">
              <w:rPr>
                <w:rFonts w:asciiTheme="minorHAnsi" w:hAnsiTheme="minorHAnsi"/>
                <w:b w:val="0"/>
                <w:color w:val="000000"/>
                <w:sz w:val="22"/>
                <w:szCs w:val="22"/>
              </w:rPr>
              <w:tab/>
            </w:r>
          </w:p>
        </w:tc>
        <w:tc>
          <w:tcPr>
            <w:tcW w:w="1784" w:type="dxa"/>
          </w:tcPr>
          <w:p w14:paraId="6E64C030" w14:textId="77777777" w:rsidR="002739BD" w:rsidRPr="00CD5000" w:rsidRDefault="002739BD"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2739BD" w14:paraId="368E60C3" w14:textId="77777777" w:rsidTr="00D72CF0">
        <w:trPr>
          <w:trHeight w:val="351"/>
        </w:trPr>
        <w:tc>
          <w:tcPr>
            <w:cnfStyle w:val="001000000000" w:firstRow="0" w:lastRow="0" w:firstColumn="1" w:lastColumn="0" w:oddVBand="0" w:evenVBand="0" w:oddHBand="0" w:evenHBand="0" w:firstRowFirstColumn="0" w:firstRowLastColumn="0" w:lastRowFirstColumn="0" w:lastRowLastColumn="0"/>
            <w:tcW w:w="6368" w:type="dxa"/>
          </w:tcPr>
          <w:p w14:paraId="3F70D431" w14:textId="4B230278" w:rsidR="002739BD" w:rsidRPr="00D72CF0" w:rsidRDefault="002739BD"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Minutes of meetings of Board of Directors and committees</w:t>
            </w:r>
          </w:p>
        </w:tc>
        <w:tc>
          <w:tcPr>
            <w:tcW w:w="1784" w:type="dxa"/>
          </w:tcPr>
          <w:p w14:paraId="66892647" w14:textId="77777777" w:rsidR="002739BD" w:rsidRPr="00CD5000" w:rsidRDefault="002739BD"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2739BD" w14:paraId="22A19EF2" w14:textId="77777777" w:rsidTr="00D72CF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368" w:type="dxa"/>
          </w:tcPr>
          <w:p w14:paraId="0F22F30F" w14:textId="087E4C11" w:rsidR="002739BD" w:rsidRPr="00D72CF0" w:rsidRDefault="00BA216A" w:rsidP="00BA216A">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IRS Form 1023 and l</w:t>
            </w:r>
            <w:r w:rsidR="002739BD" w:rsidRPr="00D72CF0">
              <w:rPr>
                <w:rFonts w:asciiTheme="minorHAnsi" w:hAnsiTheme="minorHAnsi"/>
                <w:b w:val="0"/>
                <w:color w:val="000000"/>
                <w:sz w:val="22"/>
                <w:szCs w:val="22"/>
              </w:rPr>
              <w:t xml:space="preserve">etter of </w:t>
            </w:r>
            <w:r w:rsidRPr="00D72CF0">
              <w:rPr>
                <w:rFonts w:asciiTheme="minorHAnsi" w:hAnsiTheme="minorHAnsi"/>
                <w:b w:val="0"/>
                <w:color w:val="000000"/>
                <w:sz w:val="22"/>
                <w:szCs w:val="22"/>
              </w:rPr>
              <w:t>t</w:t>
            </w:r>
            <w:r w:rsidR="002739BD" w:rsidRPr="00D72CF0">
              <w:rPr>
                <w:rFonts w:asciiTheme="minorHAnsi" w:hAnsiTheme="minorHAnsi"/>
                <w:b w:val="0"/>
                <w:color w:val="000000"/>
                <w:sz w:val="22"/>
                <w:szCs w:val="22"/>
              </w:rPr>
              <w:t xml:space="preserve">ax-exempt </w:t>
            </w:r>
            <w:r w:rsidRPr="00D72CF0">
              <w:rPr>
                <w:rFonts w:asciiTheme="minorHAnsi" w:hAnsiTheme="minorHAnsi"/>
                <w:b w:val="0"/>
                <w:color w:val="000000"/>
                <w:sz w:val="22"/>
                <w:szCs w:val="22"/>
              </w:rPr>
              <w:t>d</w:t>
            </w:r>
            <w:r w:rsidR="002739BD" w:rsidRPr="00D72CF0">
              <w:rPr>
                <w:rFonts w:asciiTheme="minorHAnsi" w:hAnsiTheme="minorHAnsi"/>
                <w:b w:val="0"/>
                <w:color w:val="000000"/>
                <w:sz w:val="22"/>
                <w:szCs w:val="22"/>
              </w:rPr>
              <w:t>etermination from IRS</w:t>
            </w:r>
          </w:p>
        </w:tc>
        <w:tc>
          <w:tcPr>
            <w:tcW w:w="1784" w:type="dxa"/>
          </w:tcPr>
          <w:p w14:paraId="4AD32E3C" w14:textId="77777777" w:rsidR="002739BD" w:rsidRPr="00CD5000" w:rsidRDefault="002739BD"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2739BD" w14:paraId="1531B6A0" w14:textId="77777777" w:rsidTr="00D72CF0">
        <w:trPr>
          <w:trHeight w:val="351"/>
        </w:trPr>
        <w:tc>
          <w:tcPr>
            <w:cnfStyle w:val="001000000000" w:firstRow="0" w:lastRow="0" w:firstColumn="1" w:lastColumn="0" w:oddVBand="0" w:evenVBand="0" w:oddHBand="0" w:evenHBand="0" w:firstRowFirstColumn="0" w:firstRowLastColumn="0" w:lastRowFirstColumn="0" w:lastRowLastColumn="0"/>
            <w:tcW w:w="6368" w:type="dxa"/>
          </w:tcPr>
          <w:p w14:paraId="2D5B7A04" w14:textId="6104830B" w:rsidR="002739BD" w:rsidRPr="00D72CF0" w:rsidRDefault="002739BD"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Tax-exemption certificates and other documentation from state(s)</w:t>
            </w:r>
          </w:p>
        </w:tc>
        <w:tc>
          <w:tcPr>
            <w:tcW w:w="1784" w:type="dxa"/>
          </w:tcPr>
          <w:p w14:paraId="2964A599" w14:textId="05241BA2" w:rsidR="002739BD" w:rsidRPr="00CD5000" w:rsidRDefault="002739BD"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571A79" w14:paraId="4A847471" w14:textId="77777777" w:rsidTr="00D72CF0">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6368" w:type="dxa"/>
          </w:tcPr>
          <w:p w14:paraId="5673F787" w14:textId="39EBE623" w:rsidR="00571A79" w:rsidRPr="00D72CF0" w:rsidRDefault="00571A79"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Written policies</w:t>
            </w:r>
          </w:p>
          <w:p w14:paraId="57D73DB5" w14:textId="07B5AC00" w:rsidR="00571A79" w:rsidRPr="00D72CF0" w:rsidRDefault="00571A79" w:rsidP="00C01139">
            <w:pPr>
              <w:autoSpaceDE w:val="0"/>
              <w:autoSpaceDN w:val="0"/>
              <w:adjustRightInd w:val="0"/>
              <w:rPr>
                <w:rFonts w:asciiTheme="minorHAnsi" w:hAnsiTheme="minorHAnsi"/>
                <w:b w:val="0"/>
                <w:bCs w:val="0"/>
                <w:i/>
                <w:color w:val="000000"/>
                <w:sz w:val="18"/>
                <w:szCs w:val="18"/>
              </w:rPr>
            </w:pPr>
            <w:r w:rsidRPr="00D72CF0">
              <w:rPr>
                <w:rFonts w:asciiTheme="minorHAnsi" w:hAnsiTheme="minorHAnsi"/>
                <w:b w:val="0"/>
                <w:i/>
                <w:color w:val="000000"/>
                <w:sz w:val="18"/>
                <w:szCs w:val="18"/>
              </w:rPr>
              <w:t>(e.g., Accounting Policies and Procedures, Records Management and Retention, Acceptable Use of Techn</w:t>
            </w:r>
            <w:r w:rsidR="00D528CD" w:rsidRPr="00D72CF0">
              <w:rPr>
                <w:rFonts w:asciiTheme="minorHAnsi" w:hAnsiTheme="minorHAnsi"/>
                <w:b w:val="0"/>
                <w:i/>
                <w:color w:val="000000"/>
                <w:sz w:val="18"/>
                <w:szCs w:val="18"/>
              </w:rPr>
              <w:t>ology</w:t>
            </w:r>
            <w:r w:rsidRPr="00D72CF0">
              <w:rPr>
                <w:rFonts w:asciiTheme="minorHAnsi" w:hAnsiTheme="minorHAnsi"/>
                <w:b w:val="0"/>
                <w:i/>
                <w:color w:val="000000"/>
                <w:sz w:val="18"/>
                <w:szCs w:val="18"/>
              </w:rPr>
              <w:t>, Emergency, IT Security, and Risk Management Plans)</w:t>
            </w:r>
          </w:p>
        </w:tc>
        <w:tc>
          <w:tcPr>
            <w:tcW w:w="1784" w:type="dxa"/>
          </w:tcPr>
          <w:p w14:paraId="776721B1" w14:textId="71C25001" w:rsidR="00571A79" w:rsidRDefault="00B4170E"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571A79">
              <w:rPr>
                <w:rFonts w:asciiTheme="minorHAnsi" w:hAnsiTheme="minorHAnsi"/>
                <w:bCs/>
                <w:color w:val="000000"/>
                <w:sz w:val="22"/>
                <w:szCs w:val="22"/>
              </w:rPr>
              <w:t>7</w:t>
            </w:r>
          </w:p>
        </w:tc>
      </w:tr>
      <w:tr w:rsidR="00942EA1" w14:paraId="5169ECAD" w14:textId="77777777" w:rsidTr="00D72CF0">
        <w:trPr>
          <w:trHeight w:val="810"/>
        </w:trPr>
        <w:tc>
          <w:tcPr>
            <w:cnfStyle w:val="001000000000" w:firstRow="0" w:lastRow="0" w:firstColumn="1" w:lastColumn="0" w:oddVBand="0" w:evenVBand="0" w:oddHBand="0" w:evenHBand="0" w:firstRowFirstColumn="0" w:firstRowLastColumn="0" w:lastRowFirstColumn="0" w:lastRowLastColumn="0"/>
            <w:tcW w:w="6368" w:type="dxa"/>
          </w:tcPr>
          <w:p w14:paraId="364C5EA0" w14:textId="146A3486" w:rsidR="00942EA1" w:rsidRPr="00D72CF0" w:rsidRDefault="00942EA1"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Procurement </w:t>
            </w:r>
          </w:p>
          <w:p w14:paraId="2A9FAB19" w14:textId="333B2677" w:rsidR="00942EA1" w:rsidRPr="00D72CF0" w:rsidRDefault="00942EA1" w:rsidP="00C01139">
            <w:pPr>
              <w:autoSpaceDE w:val="0"/>
              <w:autoSpaceDN w:val="0"/>
              <w:adjustRightInd w:val="0"/>
              <w:rPr>
                <w:rFonts w:asciiTheme="minorHAnsi" w:hAnsiTheme="minorHAnsi"/>
                <w:b w:val="0"/>
                <w:bCs w:val="0"/>
                <w:i/>
                <w:color w:val="000000"/>
                <w:sz w:val="18"/>
                <w:szCs w:val="18"/>
              </w:rPr>
            </w:pPr>
            <w:r w:rsidRPr="00D72CF0">
              <w:rPr>
                <w:rFonts w:asciiTheme="minorHAnsi" w:hAnsiTheme="minorHAnsi"/>
                <w:b w:val="0"/>
                <w:i/>
                <w:color w:val="000000"/>
                <w:sz w:val="18"/>
                <w:szCs w:val="18"/>
              </w:rPr>
              <w:t>(</w:t>
            </w:r>
            <w:r w:rsidR="00BA216A" w:rsidRPr="00D72CF0">
              <w:rPr>
                <w:rFonts w:asciiTheme="minorHAnsi" w:hAnsiTheme="minorHAnsi"/>
                <w:b w:val="0"/>
                <w:i/>
                <w:color w:val="000000"/>
                <w:sz w:val="18"/>
                <w:szCs w:val="18"/>
              </w:rPr>
              <w:t>Records</w:t>
            </w:r>
            <w:r w:rsidRPr="00D72CF0">
              <w:rPr>
                <w:rFonts w:asciiTheme="minorHAnsi" w:hAnsiTheme="minorHAnsi"/>
                <w:b w:val="0"/>
                <w:i/>
                <w:color w:val="000000"/>
                <w:sz w:val="18"/>
                <w:szCs w:val="18"/>
              </w:rPr>
              <w:t xml:space="preserve"> other than contracts evidencing purchase of goods and services e.g., purchase orders; purchase requisitions, delivery receipts, receiving documents)</w:t>
            </w:r>
          </w:p>
        </w:tc>
        <w:tc>
          <w:tcPr>
            <w:tcW w:w="1784" w:type="dxa"/>
          </w:tcPr>
          <w:p w14:paraId="4A73A411" w14:textId="0A68CE63" w:rsidR="00942EA1" w:rsidRDefault="00B4170E" w:rsidP="00F323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942EA1">
              <w:rPr>
                <w:rFonts w:asciiTheme="minorHAnsi" w:hAnsiTheme="minorHAnsi"/>
                <w:bCs/>
                <w:color w:val="000000"/>
                <w:sz w:val="22"/>
                <w:szCs w:val="22"/>
              </w:rPr>
              <w:t>7</w:t>
            </w:r>
          </w:p>
        </w:tc>
      </w:tr>
    </w:tbl>
    <w:p w14:paraId="77864E6F" w14:textId="77777777" w:rsidR="00942EA1" w:rsidRPr="002D1280" w:rsidRDefault="00942EA1" w:rsidP="0092654C">
      <w:pPr>
        <w:autoSpaceDE w:val="0"/>
        <w:autoSpaceDN w:val="0"/>
        <w:adjustRightInd w:val="0"/>
        <w:rPr>
          <w:rFonts w:asciiTheme="minorHAnsi" w:hAnsiTheme="minorHAnsi"/>
          <w:bCs/>
          <w:color w:val="000000"/>
          <w:sz w:val="22"/>
          <w:szCs w:val="22"/>
        </w:rPr>
      </w:pPr>
    </w:p>
    <w:p w14:paraId="29F0EDEB" w14:textId="77777777" w:rsidR="00CC56AD" w:rsidRPr="00837032" w:rsidRDefault="00CC56AD" w:rsidP="002F6D10">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Financial/Accounting Records</w:t>
      </w:r>
    </w:p>
    <w:p w14:paraId="1AE41E39" w14:textId="2FE7DAA1" w:rsidR="00CC56AD" w:rsidRDefault="00CC56AD" w:rsidP="002F6D10">
      <w:pPr>
        <w:autoSpaceDE w:val="0"/>
        <w:autoSpaceDN w:val="0"/>
        <w:adjustRightInd w:val="0"/>
        <w:rPr>
          <w:rFonts w:asciiTheme="minorHAnsi" w:hAnsiTheme="minorHAnsi"/>
          <w:bCs/>
          <w:color w:val="000000"/>
          <w:sz w:val="22"/>
          <w:szCs w:val="22"/>
        </w:rPr>
      </w:pPr>
      <w:r w:rsidRPr="002D1280">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2D1280">
        <w:rPr>
          <w:rFonts w:asciiTheme="minorHAnsi" w:hAnsiTheme="minorHAnsi"/>
          <w:bCs/>
          <w:color w:val="000000"/>
          <w:sz w:val="22"/>
          <w:szCs w:val="22"/>
        </w:rPr>
        <w:t xml:space="preserve"> shall be retained in the Finance </w:t>
      </w:r>
      <w:r w:rsidR="00463C81">
        <w:rPr>
          <w:rFonts w:asciiTheme="minorHAnsi" w:hAnsiTheme="minorHAnsi"/>
          <w:bCs/>
          <w:color w:val="000000"/>
          <w:sz w:val="22"/>
          <w:szCs w:val="22"/>
        </w:rPr>
        <w:t>d</w:t>
      </w:r>
      <w:r w:rsidRPr="002D1280">
        <w:rPr>
          <w:rFonts w:asciiTheme="minorHAnsi" w:hAnsiTheme="minorHAnsi"/>
          <w:bCs/>
          <w:color w:val="000000"/>
          <w:sz w:val="22"/>
          <w:szCs w:val="22"/>
        </w:rPr>
        <w:t>epartment</w:t>
      </w:r>
      <w:r w:rsidR="008742F6">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8742F6">
        <w:rPr>
          <w:rFonts w:asciiTheme="minorHAnsi" w:hAnsiTheme="minorHAnsi"/>
          <w:bCs/>
          <w:color w:val="000000"/>
          <w:sz w:val="22"/>
          <w:szCs w:val="22"/>
        </w:rPr>
        <w:t xml:space="preserve"> retention period shall begin after the </w:t>
      </w:r>
      <w:r w:rsidR="00391E84">
        <w:rPr>
          <w:rFonts w:asciiTheme="minorHAnsi" w:hAnsiTheme="minorHAnsi"/>
          <w:bCs/>
          <w:color w:val="000000"/>
          <w:sz w:val="22"/>
          <w:szCs w:val="22"/>
        </w:rPr>
        <w:t>creation</w:t>
      </w:r>
      <w:r w:rsidR="00B4170E">
        <w:rPr>
          <w:rFonts w:asciiTheme="minorHAnsi" w:hAnsiTheme="minorHAnsi"/>
          <w:bCs/>
          <w:color w:val="000000"/>
          <w:sz w:val="22"/>
          <w:szCs w:val="22"/>
        </w:rPr>
        <w:t xml:space="preserve"> (C)</w:t>
      </w:r>
      <w:r w:rsidR="002739BD">
        <w:rPr>
          <w:rFonts w:asciiTheme="minorHAnsi" w:hAnsiTheme="minorHAnsi"/>
          <w:bCs/>
          <w:color w:val="000000"/>
          <w:sz w:val="22"/>
          <w:szCs w:val="22"/>
        </w:rPr>
        <w:t xml:space="preserve"> </w:t>
      </w:r>
      <w:r w:rsidR="008742F6">
        <w:rPr>
          <w:rFonts w:asciiTheme="minorHAnsi" w:hAnsiTheme="minorHAnsi"/>
          <w:bCs/>
          <w:color w:val="000000"/>
          <w:sz w:val="22"/>
          <w:szCs w:val="22"/>
        </w:rPr>
        <w:t xml:space="preserve">of these </w:t>
      </w:r>
      <w:r w:rsidR="00BA216A">
        <w:rPr>
          <w:rFonts w:asciiTheme="minorHAnsi" w:hAnsiTheme="minorHAnsi"/>
          <w:bCs/>
          <w:color w:val="000000"/>
          <w:sz w:val="22"/>
          <w:szCs w:val="22"/>
        </w:rPr>
        <w:t>Records</w:t>
      </w:r>
      <w:r w:rsidR="00B4170E">
        <w:rPr>
          <w:rFonts w:asciiTheme="minorHAnsi" w:hAnsiTheme="minorHAnsi"/>
          <w:bCs/>
          <w:color w:val="000000"/>
          <w:sz w:val="22"/>
          <w:szCs w:val="22"/>
        </w:rPr>
        <w:t>,</w:t>
      </w:r>
      <w:r w:rsidR="00391E84">
        <w:rPr>
          <w:rFonts w:asciiTheme="minorHAnsi" w:hAnsiTheme="minorHAnsi"/>
          <w:bCs/>
          <w:color w:val="000000"/>
          <w:sz w:val="22"/>
          <w:szCs w:val="22"/>
        </w:rPr>
        <w:t xml:space="preserve"> unless noted</w:t>
      </w:r>
      <w:r w:rsidR="002F2571">
        <w:rPr>
          <w:rFonts w:asciiTheme="minorHAnsi" w:hAnsiTheme="minorHAnsi"/>
          <w:bCs/>
          <w:color w:val="000000"/>
          <w:sz w:val="22"/>
          <w:szCs w:val="22"/>
        </w:rPr>
        <w:t xml:space="preserve"> otherwise</w:t>
      </w:r>
      <w:r>
        <w:rPr>
          <w:rFonts w:asciiTheme="minorHAnsi" w:hAnsiTheme="minorHAnsi"/>
          <w:bCs/>
          <w:color w:val="000000"/>
          <w:sz w:val="22"/>
          <w:szCs w:val="22"/>
        </w:rPr>
        <w:t>:</w:t>
      </w:r>
      <w:r w:rsidR="008742F6">
        <w:rPr>
          <w:rStyle w:val="FootnoteReference"/>
          <w:rFonts w:asciiTheme="minorHAnsi" w:hAnsiTheme="minorHAnsi"/>
          <w:bCs/>
          <w:color w:val="000000"/>
          <w:sz w:val="22"/>
          <w:szCs w:val="22"/>
        </w:rPr>
        <w:footnoteReference w:id="19"/>
      </w:r>
    </w:p>
    <w:p w14:paraId="3C683FFB" w14:textId="77777777" w:rsidR="00323761" w:rsidRPr="002D1280" w:rsidRDefault="00323761" w:rsidP="002F6D10">
      <w:pPr>
        <w:autoSpaceDE w:val="0"/>
        <w:autoSpaceDN w:val="0"/>
        <w:adjustRightInd w:val="0"/>
        <w:rPr>
          <w:rFonts w:asciiTheme="minorHAnsi" w:hAnsiTheme="minorHAnsi"/>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CC56AD" w14:paraId="2ECFE3BF"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066B60C5" w14:textId="77777777" w:rsidR="00CC56AD" w:rsidRDefault="00CC56AD" w:rsidP="002F6D10">
            <w:pPr>
              <w:autoSpaceDE w:val="0"/>
              <w:autoSpaceDN w:val="0"/>
              <w:adjustRightInd w:val="0"/>
              <w:rPr>
                <w:rFonts w:asciiTheme="minorHAnsi" w:hAnsiTheme="minorHAnsi"/>
                <w:b w:val="0"/>
                <w:bCs w:val="0"/>
                <w:color w:val="000000"/>
                <w:sz w:val="22"/>
                <w:szCs w:val="22"/>
              </w:rPr>
            </w:pPr>
          </w:p>
        </w:tc>
        <w:tc>
          <w:tcPr>
            <w:tcW w:w="1784" w:type="dxa"/>
          </w:tcPr>
          <w:p w14:paraId="606C1E36" w14:textId="77777777" w:rsidR="00CC56AD" w:rsidRDefault="00CC56AD" w:rsidP="002F6D1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80013F" w14:paraId="794B138E" w14:textId="77777777" w:rsidTr="00D72C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68" w:type="dxa"/>
          </w:tcPr>
          <w:p w14:paraId="4C10B67C" w14:textId="77777777" w:rsidR="0080013F" w:rsidRPr="00D72CF0" w:rsidRDefault="0080013F" w:rsidP="00942EA1">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Audit reports</w:t>
            </w:r>
          </w:p>
        </w:tc>
        <w:tc>
          <w:tcPr>
            <w:tcW w:w="1784" w:type="dxa"/>
          </w:tcPr>
          <w:p w14:paraId="38358C10" w14:textId="77777777" w:rsidR="0080013F" w:rsidRPr="00CD5000" w:rsidRDefault="0080013F" w:rsidP="00942E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80013F" w14:paraId="742397E6" w14:textId="77777777" w:rsidTr="00D72CF0">
        <w:trPr>
          <w:trHeight w:val="351"/>
        </w:trPr>
        <w:tc>
          <w:tcPr>
            <w:cnfStyle w:val="001000000000" w:firstRow="0" w:lastRow="0" w:firstColumn="1" w:lastColumn="0" w:oddVBand="0" w:evenVBand="0" w:oddHBand="0" w:evenHBand="0" w:firstRowFirstColumn="0" w:firstRowLastColumn="0" w:lastRowFirstColumn="0" w:lastRowLastColumn="0"/>
            <w:tcW w:w="6368" w:type="dxa"/>
          </w:tcPr>
          <w:p w14:paraId="57CB9214" w14:textId="505AE6D2" w:rsidR="0080013F"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Depreciation s</w:t>
            </w:r>
            <w:r w:rsidR="0080013F" w:rsidRPr="00D72CF0">
              <w:rPr>
                <w:rFonts w:asciiTheme="minorHAnsi" w:hAnsiTheme="minorHAnsi"/>
                <w:b w:val="0"/>
                <w:color w:val="000000"/>
                <w:sz w:val="22"/>
                <w:szCs w:val="22"/>
              </w:rPr>
              <w:t>chedules</w:t>
            </w:r>
          </w:p>
        </w:tc>
        <w:tc>
          <w:tcPr>
            <w:tcW w:w="1784" w:type="dxa"/>
          </w:tcPr>
          <w:p w14:paraId="37AFF3AA" w14:textId="77777777" w:rsidR="0080013F" w:rsidRDefault="0080013F"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80013F" w14:paraId="0D06814B" w14:textId="77777777" w:rsidTr="00D72CF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8" w:type="dxa"/>
          </w:tcPr>
          <w:p w14:paraId="148735EA" w14:textId="3777CFF3" w:rsidR="0080013F" w:rsidRPr="00D72CF0" w:rsidRDefault="0080013F" w:rsidP="0056055F">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Form 990 </w:t>
            </w:r>
          </w:p>
        </w:tc>
        <w:tc>
          <w:tcPr>
            <w:tcW w:w="1784" w:type="dxa"/>
          </w:tcPr>
          <w:p w14:paraId="222BFFF1" w14:textId="77777777" w:rsidR="0080013F" w:rsidRDefault="0080013F"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80013F" w14:paraId="1CDCC1BA" w14:textId="77777777" w:rsidTr="00D72CF0">
        <w:trPr>
          <w:trHeight w:val="963"/>
        </w:trPr>
        <w:tc>
          <w:tcPr>
            <w:cnfStyle w:val="001000000000" w:firstRow="0" w:lastRow="0" w:firstColumn="1" w:lastColumn="0" w:oddVBand="0" w:evenVBand="0" w:oddHBand="0" w:evenHBand="0" w:firstRowFirstColumn="0" w:firstRowLastColumn="0" w:lastRowFirstColumn="0" w:lastRowLastColumn="0"/>
            <w:tcW w:w="6368" w:type="dxa"/>
          </w:tcPr>
          <w:p w14:paraId="4D9ACB53" w14:textId="5EBFFE6A" w:rsidR="0080013F"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Financial s</w:t>
            </w:r>
            <w:r w:rsidR="0080013F" w:rsidRPr="00D72CF0">
              <w:rPr>
                <w:rFonts w:asciiTheme="minorHAnsi" w:hAnsiTheme="minorHAnsi"/>
                <w:b w:val="0"/>
                <w:color w:val="000000"/>
                <w:sz w:val="22"/>
                <w:szCs w:val="22"/>
              </w:rPr>
              <w:t xml:space="preserve">tatements </w:t>
            </w:r>
          </w:p>
          <w:p w14:paraId="46770804" w14:textId="786E3F57" w:rsidR="0080013F" w:rsidRPr="00D72CF0" w:rsidRDefault="0080013F" w:rsidP="00F474BA">
            <w:pPr>
              <w:autoSpaceDE w:val="0"/>
              <w:autoSpaceDN w:val="0"/>
              <w:adjustRightInd w:val="0"/>
              <w:rPr>
                <w:rFonts w:asciiTheme="minorHAnsi" w:hAnsiTheme="minorHAnsi"/>
                <w:b w:val="0"/>
                <w:bCs w:val="0"/>
                <w:i/>
                <w:color w:val="000000"/>
                <w:sz w:val="18"/>
                <w:szCs w:val="18"/>
              </w:rPr>
            </w:pPr>
            <w:r w:rsidRPr="00D72CF0">
              <w:rPr>
                <w:rFonts w:asciiTheme="minorHAnsi" w:hAnsiTheme="minorHAnsi"/>
                <w:b w:val="0"/>
                <w:i/>
                <w:color w:val="000000"/>
                <w:sz w:val="18"/>
                <w:szCs w:val="18"/>
              </w:rPr>
              <w:t>(</w:t>
            </w:r>
            <w:r w:rsidR="00BA216A" w:rsidRPr="00D72CF0">
              <w:rPr>
                <w:rFonts w:asciiTheme="minorHAnsi" w:hAnsiTheme="minorHAnsi"/>
                <w:b w:val="0"/>
                <w:i/>
                <w:color w:val="000000"/>
                <w:sz w:val="18"/>
                <w:szCs w:val="18"/>
              </w:rPr>
              <w:t>Records</w:t>
            </w:r>
            <w:r w:rsidRPr="00D72CF0">
              <w:rPr>
                <w:rFonts w:asciiTheme="minorHAnsi" w:hAnsiTheme="minorHAnsi"/>
                <w:b w:val="0"/>
                <w:i/>
                <w:color w:val="000000"/>
                <w:sz w:val="18"/>
                <w:szCs w:val="18"/>
              </w:rPr>
              <w:t xml:space="preserve"> relating to periodic financial statements e.g., periodic audited and un-audited financial statements, including balance sheets, income statements and profit and loss statements, general ledgers, audit work papers)</w:t>
            </w:r>
          </w:p>
        </w:tc>
        <w:tc>
          <w:tcPr>
            <w:tcW w:w="1784" w:type="dxa"/>
          </w:tcPr>
          <w:p w14:paraId="72E38902" w14:textId="4BC31B21" w:rsidR="0080013F" w:rsidRDefault="0080013F"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Annual – P</w:t>
            </w:r>
          </w:p>
          <w:p w14:paraId="5F7B6BA0" w14:textId="2CCBEEE3" w:rsidR="0080013F" w:rsidRDefault="0080013F"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 xml:space="preserve">Others – </w:t>
            </w:r>
            <w:r w:rsidR="00B4170E">
              <w:rPr>
                <w:rFonts w:asciiTheme="minorHAnsi" w:hAnsiTheme="minorHAnsi"/>
                <w:bCs/>
                <w:color w:val="000000"/>
                <w:sz w:val="22"/>
                <w:szCs w:val="22"/>
              </w:rPr>
              <w:t>C+</w:t>
            </w:r>
            <w:r>
              <w:rPr>
                <w:rFonts w:asciiTheme="minorHAnsi" w:hAnsiTheme="minorHAnsi"/>
                <w:bCs/>
                <w:color w:val="000000"/>
                <w:sz w:val="22"/>
                <w:szCs w:val="22"/>
              </w:rPr>
              <w:t>7</w:t>
            </w:r>
          </w:p>
        </w:tc>
      </w:tr>
      <w:tr w:rsidR="00CC56AD" w14:paraId="258E8C35" w14:textId="77777777" w:rsidTr="00D72CF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368" w:type="dxa"/>
          </w:tcPr>
          <w:p w14:paraId="0F808CD1" w14:textId="51A6DB42" w:rsidR="00FF1180" w:rsidRPr="00D72CF0" w:rsidRDefault="00FF1180"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Accounting</w:t>
            </w:r>
          </w:p>
          <w:p w14:paraId="57E0209A" w14:textId="62B4AECA" w:rsidR="00CC56AD" w:rsidRPr="00D72CF0" w:rsidRDefault="00FF1180" w:rsidP="00C01139">
            <w:pPr>
              <w:autoSpaceDE w:val="0"/>
              <w:autoSpaceDN w:val="0"/>
              <w:adjustRightInd w:val="0"/>
              <w:rPr>
                <w:rFonts w:asciiTheme="minorHAnsi" w:hAnsiTheme="minorHAnsi"/>
                <w:b w:val="0"/>
                <w:bCs w:val="0"/>
                <w:i/>
                <w:color w:val="000000"/>
                <w:sz w:val="18"/>
                <w:szCs w:val="18"/>
              </w:rPr>
            </w:pPr>
            <w:r w:rsidRPr="00D72CF0">
              <w:rPr>
                <w:rFonts w:asciiTheme="minorHAnsi" w:hAnsiTheme="minorHAnsi"/>
                <w:b w:val="0"/>
                <w:i/>
                <w:color w:val="000000"/>
                <w:sz w:val="18"/>
                <w:szCs w:val="18"/>
              </w:rPr>
              <w:t>(</w:t>
            </w:r>
            <w:r w:rsidR="00BA216A" w:rsidRPr="00D72CF0">
              <w:rPr>
                <w:rFonts w:asciiTheme="minorHAnsi" w:hAnsiTheme="minorHAnsi"/>
                <w:b w:val="0"/>
                <w:i/>
                <w:color w:val="000000"/>
                <w:sz w:val="18"/>
                <w:szCs w:val="18"/>
              </w:rPr>
              <w:t>Records</w:t>
            </w:r>
            <w:r w:rsidR="00D528CD" w:rsidRPr="00D72CF0">
              <w:rPr>
                <w:rFonts w:asciiTheme="minorHAnsi" w:hAnsiTheme="minorHAnsi"/>
                <w:b w:val="0"/>
                <w:i/>
                <w:color w:val="000000"/>
                <w:sz w:val="18"/>
                <w:szCs w:val="18"/>
              </w:rPr>
              <w:t xml:space="preserve"> relating to current accounting functions </w:t>
            </w:r>
            <w:r w:rsidRPr="00D72CF0">
              <w:rPr>
                <w:rFonts w:asciiTheme="minorHAnsi" w:hAnsiTheme="minorHAnsi"/>
                <w:b w:val="0"/>
                <w:i/>
                <w:color w:val="000000"/>
                <w:sz w:val="18"/>
                <w:szCs w:val="18"/>
              </w:rPr>
              <w:t>e.g., a</w:t>
            </w:r>
            <w:r w:rsidR="00CC56AD" w:rsidRPr="00D72CF0">
              <w:rPr>
                <w:rFonts w:asciiTheme="minorHAnsi" w:hAnsiTheme="minorHAnsi"/>
                <w:b w:val="0"/>
                <w:i/>
                <w:color w:val="000000"/>
                <w:sz w:val="18"/>
                <w:szCs w:val="18"/>
              </w:rPr>
              <w:t xml:space="preserve">ccounts payable </w:t>
            </w:r>
            <w:r w:rsidR="00D528CD" w:rsidRPr="00D72CF0">
              <w:rPr>
                <w:rFonts w:asciiTheme="minorHAnsi" w:hAnsiTheme="minorHAnsi"/>
                <w:b w:val="0"/>
                <w:i/>
                <w:color w:val="000000"/>
                <w:sz w:val="18"/>
                <w:szCs w:val="18"/>
              </w:rPr>
              <w:t xml:space="preserve">invoices, check disbursements, </w:t>
            </w:r>
            <w:r w:rsidRPr="00D72CF0">
              <w:rPr>
                <w:rFonts w:asciiTheme="minorHAnsi" w:hAnsiTheme="minorHAnsi"/>
                <w:b w:val="0"/>
                <w:i/>
                <w:color w:val="000000"/>
                <w:sz w:val="18"/>
                <w:szCs w:val="18"/>
              </w:rPr>
              <w:t xml:space="preserve">accounts </w:t>
            </w:r>
            <w:r w:rsidR="00D528CD" w:rsidRPr="00D72CF0">
              <w:rPr>
                <w:rFonts w:asciiTheme="minorHAnsi" w:hAnsiTheme="minorHAnsi"/>
                <w:b w:val="0"/>
                <w:i/>
                <w:color w:val="000000"/>
                <w:sz w:val="18"/>
                <w:szCs w:val="18"/>
              </w:rPr>
              <w:t xml:space="preserve">ledgers, </w:t>
            </w:r>
            <w:r w:rsidRPr="00D72CF0">
              <w:rPr>
                <w:rFonts w:asciiTheme="minorHAnsi" w:hAnsiTheme="minorHAnsi"/>
                <w:b w:val="0"/>
                <w:i/>
                <w:color w:val="000000"/>
                <w:sz w:val="18"/>
                <w:szCs w:val="18"/>
              </w:rPr>
              <w:t>schedules, budgets, general ledgers/year end trial balance</w:t>
            </w:r>
            <w:r w:rsidR="00853389" w:rsidRPr="00D72CF0">
              <w:rPr>
                <w:rFonts w:asciiTheme="minorHAnsi" w:hAnsiTheme="minorHAnsi"/>
                <w:b w:val="0"/>
                <w:i/>
                <w:color w:val="000000"/>
                <w:sz w:val="18"/>
                <w:szCs w:val="18"/>
              </w:rPr>
              <w:t xml:space="preserve">, </w:t>
            </w:r>
            <w:r w:rsidR="00D528CD" w:rsidRPr="00D72CF0">
              <w:rPr>
                <w:rFonts w:asciiTheme="minorHAnsi" w:hAnsiTheme="minorHAnsi"/>
                <w:b w:val="0"/>
                <w:i/>
                <w:color w:val="000000"/>
                <w:sz w:val="18"/>
                <w:szCs w:val="18"/>
              </w:rPr>
              <w:t>chart of accounts</w:t>
            </w:r>
            <w:r w:rsidRPr="00D72CF0">
              <w:rPr>
                <w:rFonts w:asciiTheme="minorHAnsi" w:hAnsiTheme="minorHAnsi"/>
                <w:b w:val="0"/>
                <w:i/>
                <w:color w:val="000000"/>
                <w:sz w:val="18"/>
                <w:szCs w:val="18"/>
              </w:rPr>
              <w:t>)</w:t>
            </w:r>
            <w:r w:rsidR="00CC56AD" w:rsidRPr="00D72CF0">
              <w:rPr>
                <w:rFonts w:asciiTheme="minorHAnsi" w:hAnsiTheme="minorHAnsi"/>
                <w:b w:val="0"/>
                <w:i/>
                <w:color w:val="000000"/>
                <w:sz w:val="18"/>
                <w:szCs w:val="18"/>
              </w:rPr>
              <w:tab/>
            </w:r>
          </w:p>
        </w:tc>
        <w:tc>
          <w:tcPr>
            <w:tcW w:w="1784" w:type="dxa"/>
          </w:tcPr>
          <w:p w14:paraId="4C4F9EDE" w14:textId="623332DB" w:rsidR="00CC56AD" w:rsidRPr="00CD5000" w:rsidRDefault="00CC56AD"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CD5000">
              <w:rPr>
                <w:rFonts w:asciiTheme="minorHAnsi" w:hAnsiTheme="minorHAnsi"/>
                <w:bCs/>
                <w:color w:val="000000"/>
                <w:sz w:val="22"/>
                <w:szCs w:val="22"/>
              </w:rPr>
              <w:t>7</w:t>
            </w:r>
            <w:r w:rsidR="00913FFD">
              <w:rPr>
                <w:rFonts w:asciiTheme="minorHAnsi" w:hAnsiTheme="minorHAnsi"/>
                <w:bCs/>
                <w:color w:val="000000"/>
                <w:sz w:val="22"/>
                <w:szCs w:val="22"/>
              </w:rPr>
              <w:t xml:space="preserve"> after no longer actively used</w:t>
            </w:r>
          </w:p>
        </w:tc>
      </w:tr>
      <w:tr w:rsidR="00CC56AD" w14:paraId="6CD6BCE8" w14:textId="77777777" w:rsidTr="00D72CF0">
        <w:trPr>
          <w:trHeight w:val="981"/>
        </w:trPr>
        <w:tc>
          <w:tcPr>
            <w:cnfStyle w:val="001000000000" w:firstRow="0" w:lastRow="0" w:firstColumn="1" w:lastColumn="0" w:oddVBand="0" w:evenVBand="0" w:oddHBand="0" w:evenHBand="0" w:firstRowFirstColumn="0" w:firstRowLastColumn="0" w:lastRowFirstColumn="0" w:lastRowLastColumn="0"/>
            <w:tcW w:w="6368" w:type="dxa"/>
          </w:tcPr>
          <w:p w14:paraId="02DE4CDB" w14:textId="5E019EA4" w:rsidR="00391E84" w:rsidRPr="00D72CF0" w:rsidRDefault="00CC56AD"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Bank</w:t>
            </w:r>
            <w:r w:rsidR="0080013F" w:rsidRPr="00D72CF0">
              <w:rPr>
                <w:rFonts w:asciiTheme="minorHAnsi" w:hAnsiTheme="minorHAnsi"/>
                <w:b w:val="0"/>
                <w:color w:val="000000"/>
                <w:sz w:val="22"/>
                <w:szCs w:val="22"/>
              </w:rPr>
              <w:t xml:space="preserve"> </w:t>
            </w:r>
            <w:r w:rsidR="00BA216A" w:rsidRPr="00D72CF0">
              <w:rPr>
                <w:rFonts w:asciiTheme="minorHAnsi" w:hAnsiTheme="minorHAnsi"/>
                <w:b w:val="0"/>
                <w:color w:val="000000"/>
                <w:sz w:val="22"/>
                <w:szCs w:val="22"/>
              </w:rPr>
              <w:t>records</w:t>
            </w:r>
          </w:p>
          <w:p w14:paraId="141E5021" w14:textId="3F884071" w:rsidR="00CC56AD" w:rsidRPr="00D72CF0" w:rsidRDefault="00F24659" w:rsidP="00C01139">
            <w:pPr>
              <w:autoSpaceDE w:val="0"/>
              <w:autoSpaceDN w:val="0"/>
              <w:adjustRightInd w:val="0"/>
              <w:rPr>
                <w:rFonts w:asciiTheme="minorHAnsi" w:hAnsiTheme="minorHAnsi"/>
                <w:b w:val="0"/>
                <w:bCs w:val="0"/>
                <w:i/>
                <w:color w:val="000000"/>
                <w:sz w:val="18"/>
                <w:szCs w:val="18"/>
              </w:rPr>
            </w:pPr>
            <w:r w:rsidRPr="00D72CF0">
              <w:rPr>
                <w:rFonts w:asciiTheme="minorHAnsi" w:hAnsiTheme="minorHAnsi"/>
                <w:b w:val="0"/>
                <w:i/>
                <w:color w:val="000000"/>
                <w:sz w:val="18"/>
                <w:szCs w:val="18"/>
              </w:rPr>
              <w:t>(</w:t>
            </w:r>
            <w:r w:rsidR="00BA216A" w:rsidRPr="00D72CF0">
              <w:rPr>
                <w:rFonts w:asciiTheme="minorHAnsi" w:hAnsiTheme="minorHAnsi"/>
                <w:b w:val="0"/>
                <w:i/>
                <w:color w:val="000000"/>
                <w:sz w:val="18"/>
                <w:szCs w:val="18"/>
              </w:rPr>
              <w:t>Records</w:t>
            </w:r>
            <w:r w:rsidR="00D528CD" w:rsidRPr="00D72CF0">
              <w:rPr>
                <w:rFonts w:asciiTheme="minorHAnsi" w:hAnsiTheme="minorHAnsi"/>
                <w:b w:val="0"/>
                <w:i/>
                <w:color w:val="000000"/>
                <w:sz w:val="18"/>
                <w:szCs w:val="18"/>
              </w:rPr>
              <w:t xml:space="preserve"> relating to ordinary banking </w:t>
            </w:r>
            <w:r w:rsidRPr="00D72CF0">
              <w:rPr>
                <w:rFonts w:asciiTheme="minorHAnsi" w:hAnsiTheme="minorHAnsi"/>
                <w:b w:val="0"/>
                <w:i/>
                <w:color w:val="000000"/>
                <w:sz w:val="18"/>
                <w:szCs w:val="18"/>
              </w:rPr>
              <w:t>e.g., bank statements, bank reconciliations, deposit slips, cancelled checks, check listings / ledgers / registers, wire transfers, and electronic payments)</w:t>
            </w:r>
          </w:p>
        </w:tc>
        <w:tc>
          <w:tcPr>
            <w:tcW w:w="1784" w:type="dxa"/>
          </w:tcPr>
          <w:p w14:paraId="69F4BBD5" w14:textId="269853EE" w:rsidR="00CC56AD" w:rsidRPr="00CD5000" w:rsidRDefault="00B4170E"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C+</w:t>
            </w:r>
            <w:r w:rsidR="00CC56AD">
              <w:rPr>
                <w:rFonts w:asciiTheme="minorHAnsi" w:hAnsiTheme="minorHAnsi"/>
                <w:bCs/>
                <w:color w:val="000000"/>
                <w:sz w:val="22"/>
                <w:szCs w:val="22"/>
              </w:rPr>
              <w:t>7</w:t>
            </w:r>
          </w:p>
        </w:tc>
      </w:tr>
      <w:tr w:rsidR="0080013F" w14:paraId="722FBF80" w14:textId="77777777" w:rsidTr="00D72CF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368" w:type="dxa"/>
          </w:tcPr>
          <w:p w14:paraId="3A59B64F" w14:textId="77777777" w:rsidR="0080013F" w:rsidRPr="00D72CF0" w:rsidRDefault="0080013F"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Donations to CAA</w:t>
            </w:r>
          </w:p>
        </w:tc>
        <w:tc>
          <w:tcPr>
            <w:tcW w:w="1784" w:type="dxa"/>
          </w:tcPr>
          <w:p w14:paraId="1EB3C8EC" w14:textId="3CD8A6A8" w:rsidR="0080013F" w:rsidRDefault="00B4170E"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C+</w:t>
            </w:r>
            <w:r w:rsidR="0080013F">
              <w:rPr>
                <w:rFonts w:asciiTheme="minorHAnsi" w:hAnsiTheme="minorHAnsi"/>
                <w:bCs/>
                <w:color w:val="000000"/>
                <w:sz w:val="22"/>
                <w:szCs w:val="22"/>
              </w:rPr>
              <w:t>7</w:t>
            </w:r>
          </w:p>
        </w:tc>
      </w:tr>
      <w:tr w:rsidR="0080013F" w14:paraId="575EE655" w14:textId="77777777" w:rsidTr="00D72CF0">
        <w:trPr>
          <w:trHeight w:val="333"/>
        </w:trPr>
        <w:tc>
          <w:tcPr>
            <w:cnfStyle w:val="001000000000" w:firstRow="0" w:lastRow="0" w:firstColumn="1" w:lastColumn="0" w:oddVBand="0" w:evenVBand="0" w:oddHBand="0" w:evenHBand="0" w:firstRowFirstColumn="0" w:firstRowLastColumn="0" w:lastRowFirstColumn="0" w:lastRowLastColumn="0"/>
            <w:tcW w:w="6368" w:type="dxa"/>
          </w:tcPr>
          <w:p w14:paraId="13AED5E2" w14:textId="69EDF49C" w:rsidR="0080013F"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Grants/c</w:t>
            </w:r>
            <w:r w:rsidR="0080013F" w:rsidRPr="00D72CF0">
              <w:rPr>
                <w:rFonts w:asciiTheme="minorHAnsi" w:hAnsiTheme="minorHAnsi"/>
                <w:b w:val="0"/>
                <w:color w:val="000000"/>
                <w:sz w:val="22"/>
                <w:szCs w:val="22"/>
              </w:rPr>
              <w:t>ontracts from funding sources</w:t>
            </w:r>
          </w:p>
        </w:tc>
        <w:tc>
          <w:tcPr>
            <w:tcW w:w="1784" w:type="dxa"/>
          </w:tcPr>
          <w:p w14:paraId="354FF460" w14:textId="1384ABE8" w:rsidR="0080013F" w:rsidRDefault="0080013F"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7</w:t>
            </w:r>
            <w:r w:rsidR="00913FFD">
              <w:rPr>
                <w:rFonts w:asciiTheme="minorHAnsi" w:hAnsiTheme="minorHAnsi"/>
                <w:bCs/>
                <w:color w:val="000000"/>
                <w:sz w:val="22"/>
                <w:szCs w:val="22"/>
              </w:rPr>
              <w:t xml:space="preserve"> after expires</w:t>
            </w:r>
          </w:p>
        </w:tc>
      </w:tr>
      <w:tr w:rsidR="00F3232C" w14:paraId="52051F5E" w14:textId="77777777" w:rsidTr="00D72CF0">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6368" w:type="dxa"/>
          </w:tcPr>
          <w:p w14:paraId="5027DC61" w14:textId="4EAA7E8F" w:rsidR="00F3232C" w:rsidRPr="00D72CF0" w:rsidRDefault="007A5436" w:rsidP="00942EA1">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Payroll</w:t>
            </w:r>
          </w:p>
          <w:p w14:paraId="243E6269" w14:textId="46095AB5" w:rsidR="00F3232C" w:rsidRPr="00D72CF0" w:rsidRDefault="00F3232C" w:rsidP="007A5436">
            <w:pPr>
              <w:autoSpaceDE w:val="0"/>
              <w:autoSpaceDN w:val="0"/>
              <w:adjustRightInd w:val="0"/>
              <w:rPr>
                <w:rFonts w:asciiTheme="minorHAnsi" w:hAnsiTheme="minorHAnsi"/>
                <w:b w:val="0"/>
                <w:bCs w:val="0"/>
                <w:i/>
                <w:color w:val="000000"/>
                <w:sz w:val="18"/>
                <w:szCs w:val="18"/>
              </w:rPr>
            </w:pPr>
            <w:r w:rsidRPr="00D72CF0">
              <w:rPr>
                <w:rFonts w:asciiTheme="minorHAnsi" w:hAnsiTheme="minorHAnsi"/>
                <w:b w:val="0"/>
                <w:i/>
                <w:color w:val="000000"/>
                <w:sz w:val="18"/>
                <w:szCs w:val="18"/>
              </w:rPr>
              <w:t>(</w:t>
            </w:r>
            <w:r w:rsidR="00BA216A" w:rsidRPr="00D72CF0">
              <w:rPr>
                <w:rFonts w:asciiTheme="minorHAnsi" w:hAnsiTheme="minorHAnsi"/>
                <w:b w:val="0"/>
                <w:i/>
                <w:color w:val="000000"/>
                <w:sz w:val="18"/>
                <w:szCs w:val="18"/>
              </w:rPr>
              <w:t>Records</w:t>
            </w:r>
            <w:r w:rsidR="007A5436" w:rsidRPr="00D72CF0">
              <w:rPr>
                <w:rFonts w:asciiTheme="minorHAnsi" w:hAnsiTheme="minorHAnsi"/>
                <w:b w:val="0"/>
                <w:i/>
                <w:color w:val="000000"/>
                <w:sz w:val="18"/>
                <w:szCs w:val="18"/>
              </w:rPr>
              <w:t xml:space="preserve"> relating to payroll </w:t>
            </w:r>
            <w:r w:rsidRPr="00D72CF0">
              <w:rPr>
                <w:rFonts w:asciiTheme="minorHAnsi" w:hAnsiTheme="minorHAnsi"/>
                <w:b w:val="0"/>
                <w:i/>
                <w:color w:val="000000"/>
                <w:sz w:val="18"/>
                <w:szCs w:val="18"/>
              </w:rPr>
              <w:t>e.g., time sheets/cards, travel advance</w:t>
            </w:r>
            <w:r w:rsidR="00B4170E" w:rsidRPr="00D72CF0">
              <w:rPr>
                <w:rFonts w:asciiTheme="minorHAnsi" w:hAnsiTheme="minorHAnsi"/>
                <w:b w:val="0"/>
                <w:i/>
                <w:color w:val="000000"/>
                <w:sz w:val="18"/>
                <w:szCs w:val="18"/>
              </w:rPr>
              <w:t>, garnishment</w:t>
            </w:r>
            <w:r w:rsidRPr="00D72CF0">
              <w:rPr>
                <w:rFonts w:asciiTheme="minorHAnsi" w:hAnsiTheme="minorHAnsi"/>
                <w:b w:val="0"/>
                <w:i/>
                <w:color w:val="000000"/>
                <w:sz w:val="18"/>
                <w:szCs w:val="18"/>
              </w:rPr>
              <w:t xml:space="preserve"> and reimbursement </w:t>
            </w:r>
            <w:r w:rsidR="00BA216A" w:rsidRPr="00D72CF0">
              <w:rPr>
                <w:rFonts w:asciiTheme="minorHAnsi" w:hAnsiTheme="minorHAnsi"/>
                <w:b w:val="0"/>
                <w:i/>
                <w:color w:val="000000"/>
                <w:sz w:val="18"/>
                <w:szCs w:val="18"/>
              </w:rPr>
              <w:t>Records</w:t>
            </w:r>
            <w:r w:rsidRPr="00D72CF0">
              <w:rPr>
                <w:rFonts w:asciiTheme="minorHAnsi" w:hAnsiTheme="minorHAnsi"/>
                <w:b w:val="0"/>
                <w:i/>
                <w:color w:val="000000"/>
                <w:sz w:val="18"/>
                <w:szCs w:val="18"/>
              </w:rPr>
              <w:t xml:space="preserve">, </w:t>
            </w:r>
            <w:r w:rsidR="007A5436" w:rsidRPr="00D72CF0">
              <w:rPr>
                <w:rFonts w:asciiTheme="minorHAnsi" w:hAnsiTheme="minorHAnsi"/>
                <w:b w:val="0"/>
                <w:i/>
                <w:color w:val="000000"/>
                <w:sz w:val="18"/>
                <w:szCs w:val="18"/>
              </w:rPr>
              <w:t>W-2s, Form 1099s</w:t>
            </w:r>
            <w:r w:rsidRPr="00D72CF0">
              <w:rPr>
                <w:rFonts w:asciiTheme="minorHAnsi" w:hAnsiTheme="minorHAnsi"/>
                <w:b w:val="0"/>
                <w:i/>
                <w:color w:val="000000"/>
                <w:sz w:val="18"/>
                <w:szCs w:val="18"/>
              </w:rPr>
              <w:t>)</w:t>
            </w:r>
          </w:p>
        </w:tc>
        <w:tc>
          <w:tcPr>
            <w:tcW w:w="1784" w:type="dxa"/>
          </w:tcPr>
          <w:p w14:paraId="08522293" w14:textId="628D3103" w:rsidR="00F3232C" w:rsidRDefault="00B4170E" w:rsidP="0057475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C+</w:t>
            </w:r>
            <w:r w:rsidR="00574753">
              <w:rPr>
                <w:rFonts w:asciiTheme="minorHAnsi" w:hAnsiTheme="minorHAnsi"/>
                <w:bCs/>
                <w:color w:val="000000"/>
                <w:sz w:val="22"/>
                <w:szCs w:val="22"/>
              </w:rPr>
              <w:t>7</w:t>
            </w:r>
            <w:r w:rsidR="00F3232C">
              <w:rPr>
                <w:rStyle w:val="FootnoteReference"/>
                <w:rFonts w:asciiTheme="minorHAnsi" w:hAnsiTheme="minorHAnsi"/>
                <w:bCs/>
                <w:color w:val="000000"/>
                <w:sz w:val="22"/>
                <w:szCs w:val="22"/>
              </w:rPr>
              <w:footnoteReference w:id="20"/>
            </w:r>
          </w:p>
        </w:tc>
      </w:tr>
      <w:tr w:rsidR="0080013F" w14:paraId="0D90F2E7" w14:textId="77777777" w:rsidTr="00D72CF0">
        <w:trPr>
          <w:trHeight w:val="342"/>
        </w:trPr>
        <w:tc>
          <w:tcPr>
            <w:cnfStyle w:val="001000000000" w:firstRow="0" w:lastRow="0" w:firstColumn="1" w:lastColumn="0" w:oddVBand="0" w:evenVBand="0" w:oddHBand="0" w:evenHBand="0" w:firstRowFirstColumn="0" w:firstRowLastColumn="0" w:lastRowFirstColumn="0" w:lastRowLastColumn="0"/>
            <w:tcW w:w="6368" w:type="dxa"/>
          </w:tcPr>
          <w:p w14:paraId="4A19253D" w14:textId="77777777" w:rsidR="0080013F" w:rsidRPr="00D72CF0" w:rsidRDefault="0080013F"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Correspondence, general or routine</w:t>
            </w:r>
          </w:p>
        </w:tc>
        <w:tc>
          <w:tcPr>
            <w:tcW w:w="1784" w:type="dxa"/>
          </w:tcPr>
          <w:p w14:paraId="41B666C2" w14:textId="2CD0401C" w:rsidR="0080013F" w:rsidRDefault="00B4170E"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C+</w:t>
            </w:r>
            <w:r w:rsidR="0080013F">
              <w:rPr>
                <w:rFonts w:asciiTheme="minorHAnsi" w:hAnsiTheme="minorHAnsi"/>
                <w:bCs/>
                <w:color w:val="000000"/>
                <w:sz w:val="22"/>
                <w:szCs w:val="22"/>
              </w:rPr>
              <w:t>2</w:t>
            </w:r>
          </w:p>
        </w:tc>
      </w:tr>
    </w:tbl>
    <w:p w14:paraId="38A4BA97" w14:textId="77777777" w:rsidR="00F3232C" w:rsidRPr="00DE000D" w:rsidRDefault="00F3232C" w:rsidP="00A526D7">
      <w:pPr>
        <w:autoSpaceDE w:val="0"/>
        <w:autoSpaceDN w:val="0"/>
        <w:adjustRightInd w:val="0"/>
        <w:rPr>
          <w:rFonts w:asciiTheme="minorHAnsi" w:hAnsiTheme="minorHAnsi"/>
          <w:bCs/>
          <w:color w:val="000000"/>
          <w:sz w:val="22"/>
          <w:szCs w:val="22"/>
        </w:rPr>
      </w:pPr>
    </w:p>
    <w:p w14:paraId="1523FD6F" w14:textId="77777777" w:rsidR="00CC56AD" w:rsidRPr="00837032" w:rsidRDefault="00CC56AD" w:rsidP="0090101F">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Legal Records</w:t>
      </w:r>
    </w:p>
    <w:p w14:paraId="20BE4DA3" w14:textId="737CAB79" w:rsidR="00CC56AD" w:rsidRDefault="00CC56AD" w:rsidP="0090101F">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Legal </w:t>
      </w:r>
      <w:r w:rsidR="008E49CC">
        <w:rPr>
          <w:rFonts w:asciiTheme="minorHAnsi" w:hAnsiTheme="minorHAnsi"/>
          <w:bCs/>
          <w:color w:val="000000"/>
          <w:sz w:val="22"/>
          <w:szCs w:val="22"/>
        </w:rPr>
        <w:t>d</w:t>
      </w:r>
      <w:r w:rsidRPr="00DE000D">
        <w:rPr>
          <w:rFonts w:asciiTheme="minorHAnsi" w:hAnsiTheme="minorHAnsi"/>
          <w:bCs/>
          <w:color w:val="000000"/>
          <w:sz w:val="22"/>
          <w:szCs w:val="22"/>
        </w:rPr>
        <w:t>epartment</w:t>
      </w:r>
      <w:r w:rsidR="001830B6">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1830B6">
        <w:rPr>
          <w:rFonts w:asciiTheme="minorHAnsi" w:hAnsiTheme="minorHAnsi"/>
          <w:bCs/>
          <w:color w:val="000000"/>
          <w:sz w:val="22"/>
          <w:szCs w:val="22"/>
        </w:rPr>
        <w:t xml:space="preserve"> retention period shall begin after the termination date </w:t>
      </w:r>
      <w:r w:rsidR="00B4170E">
        <w:rPr>
          <w:rFonts w:asciiTheme="minorHAnsi" w:hAnsiTheme="minorHAnsi"/>
          <w:bCs/>
          <w:color w:val="000000"/>
          <w:sz w:val="22"/>
          <w:szCs w:val="22"/>
        </w:rPr>
        <w:t xml:space="preserve">(T) </w:t>
      </w:r>
      <w:r w:rsidR="001830B6">
        <w:rPr>
          <w:rFonts w:asciiTheme="minorHAnsi" w:hAnsiTheme="minorHAnsi"/>
          <w:bCs/>
          <w:color w:val="000000"/>
          <w:sz w:val="22"/>
          <w:szCs w:val="22"/>
        </w:rPr>
        <w:t xml:space="preserve">of the following, </w:t>
      </w:r>
      <w:r w:rsidR="00B4170E">
        <w:rPr>
          <w:rFonts w:asciiTheme="minorHAnsi" w:hAnsiTheme="minorHAnsi"/>
          <w:bCs/>
          <w:color w:val="000000"/>
          <w:sz w:val="22"/>
          <w:szCs w:val="22"/>
        </w:rPr>
        <w:t>unless noted otherwise</w:t>
      </w:r>
      <w:r w:rsidRPr="00DE000D">
        <w:rPr>
          <w:rFonts w:asciiTheme="minorHAnsi" w:hAnsiTheme="minorHAnsi"/>
          <w:bCs/>
          <w:color w:val="000000"/>
          <w:sz w:val="22"/>
          <w:szCs w:val="22"/>
        </w:rPr>
        <w:t>:</w:t>
      </w:r>
      <w:r w:rsidR="001830B6">
        <w:rPr>
          <w:rStyle w:val="FootnoteReference"/>
          <w:rFonts w:asciiTheme="minorHAnsi" w:hAnsiTheme="minorHAnsi"/>
          <w:bCs/>
          <w:color w:val="000000"/>
          <w:sz w:val="22"/>
          <w:szCs w:val="22"/>
        </w:rPr>
        <w:footnoteReference w:id="21"/>
      </w:r>
    </w:p>
    <w:p w14:paraId="3FB5368A" w14:textId="77777777" w:rsidR="00323761" w:rsidRPr="00DE000D" w:rsidRDefault="00323761" w:rsidP="0090101F">
      <w:pPr>
        <w:autoSpaceDE w:val="0"/>
        <w:autoSpaceDN w:val="0"/>
        <w:adjustRightInd w:val="0"/>
        <w:rPr>
          <w:rFonts w:asciiTheme="minorHAnsi" w:hAnsiTheme="minorHAnsi"/>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CC56AD" w14:paraId="7F70A21E"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25FA1B2F" w14:textId="77777777" w:rsidR="00CC56AD" w:rsidRDefault="00CC56AD" w:rsidP="0098150F">
            <w:pPr>
              <w:autoSpaceDE w:val="0"/>
              <w:autoSpaceDN w:val="0"/>
              <w:adjustRightInd w:val="0"/>
              <w:rPr>
                <w:rFonts w:asciiTheme="minorHAnsi" w:hAnsiTheme="minorHAnsi"/>
                <w:b w:val="0"/>
                <w:bCs w:val="0"/>
                <w:color w:val="000000"/>
                <w:sz w:val="22"/>
                <w:szCs w:val="22"/>
              </w:rPr>
            </w:pPr>
          </w:p>
        </w:tc>
        <w:tc>
          <w:tcPr>
            <w:tcW w:w="1784" w:type="dxa"/>
          </w:tcPr>
          <w:p w14:paraId="06F1A5C1" w14:textId="77777777" w:rsidR="00CC56AD" w:rsidRDefault="00CC56AD" w:rsidP="0098150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F3232C" w14:paraId="682AC6E9" w14:textId="77777777" w:rsidTr="00D72CF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368" w:type="dxa"/>
          </w:tcPr>
          <w:p w14:paraId="651C2766" w14:textId="77777777" w:rsidR="00F3232C" w:rsidRPr="00D72CF0" w:rsidRDefault="00F3232C" w:rsidP="00942EA1">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Trademark registrations and copyrights</w:t>
            </w:r>
            <w:r w:rsidRPr="00D72CF0">
              <w:rPr>
                <w:rFonts w:asciiTheme="minorHAnsi" w:hAnsiTheme="minorHAnsi"/>
                <w:b w:val="0"/>
                <w:color w:val="000000"/>
                <w:sz w:val="22"/>
                <w:szCs w:val="22"/>
              </w:rPr>
              <w:tab/>
            </w:r>
          </w:p>
        </w:tc>
        <w:tc>
          <w:tcPr>
            <w:tcW w:w="1784" w:type="dxa"/>
          </w:tcPr>
          <w:p w14:paraId="04205A09" w14:textId="77777777" w:rsidR="00F3232C" w:rsidRPr="00CD5000" w:rsidRDefault="00F3232C" w:rsidP="00942E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F3232C" w14:paraId="56F3536E" w14:textId="77777777" w:rsidTr="00D72CF0">
        <w:trPr>
          <w:trHeight w:val="360"/>
        </w:trPr>
        <w:tc>
          <w:tcPr>
            <w:cnfStyle w:val="001000000000" w:firstRow="0" w:lastRow="0" w:firstColumn="1" w:lastColumn="0" w:oddVBand="0" w:evenVBand="0" w:oddHBand="0" w:evenHBand="0" w:firstRowFirstColumn="0" w:firstRowLastColumn="0" w:lastRowFirstColumn="0" w:lastRowLastColumn="0"/>
            <w:tcW w:w="6368" w:type="dxa"/>
          </w:tcPr>
          <w:p w14:paraId="4C1DC8F6" w14:textId="77777777" w:rsidR="00F3232C" w:rsidRPr="00D72CF0" w:rsidRDefault="00F3232C" w:rsidP="00942EA1">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Historical/legal correspondence</w:t>
            </w:r>
          </w:p>
        </w:tc>
        <w:tc>
          <w:tcPr>
            <w:tcW w:w="1784" w:type="dxa"/>
          </w:tcPr>
          <w:p w14:paraId="2DB369EC" w14:textId="77777777" w:rsidR="00F3232C" w:rsidRPr="00CD5000" w:rsidRDefault="00F3232C" w:rsidP="00942E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CC56AD" w14:paraId="088C5600" w14:textId="77777777" w:rsidTr="00D72CF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368" w:type="dxa"/>
          </w:tcPr>
          <w:p w14:paraId="1F086444" w14:textId="3E4E08B5" w:rsidR="00CC56AD"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Claims and l</w:t>
            </w:r>
            <w:r w:rsidR="00F3232C" w:rsidRPr="00D72CF0">
              <w:rPr>
                <w:rFonts w:asciiTheme="minorHAnsi" w:hAnsiTheme="minorHAnsi"/>
                <w:b w:val="0"/>
                <w:color w:val="000000"/>
                <w:sz w:val="22"/>
                <w:szCs w:val="22"/>
              </w:rPr>
              <w:t>itigation</w:t>
            </w:r>
          </w:p>
        </w:tc>
        <w:tc>
          <w:tcPr>
            <w:tcW w:w="1784" w:type="dxa"/>
          </w:tcPr>
          <w:p w14:paraId="1FFB58DA" w14:textId="1538BA85" w:rsidR="00CC56AD" w:rsidRPr="00CD5000" w:rsidRDefault="00B4170E" w:rsidP="004421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F3232C">
              <w:rPr>
                <w:rFonts w:asciiTheme="minorHAnsi" w:hAnsiTheme="minorHAnsi"/>
                <w:bCs/>
                <w:color w:val="000000"/>
                <w:sz w:val="22"/>
                <w:szCs w:val="22"/>
              </w:rPr>
              <w:t>10</w:t>
            </w:r>
            <w:r w:rsidR="00F3232C" w:rsidRPr="00DE000D">
              <w:rPr>
                <w:rFonts w:asciiTheme="minorHAnsi" w:hAnsiTheme="minorHAnsi"/>
                <w:bCs/>
                <w:color w:val="000000"/>
                <w:sz w:val="22"/>
                <w:szCs w:val="22"/>
              </w:rPr>
              <w:t xml:space="preserve"> </w:t>
            </w:r>
          </w:p>
        </w:tc>
      </w:tr>
      <w:tr w:rsidR="00CC56AD" w14:paraId="06B67B23" w14:textId="77777777" w:rsidTr="00D72CF0">
        <w:trPr>
          <w:trHeight w:val="369"/>
        </w:trPr>
        <w:tc>
          <w:tcPr>
            <w:cnfStyle w:val="001000000000" w:firstRow="0" w:lastRow="0" w:firstColumn="1" w:lastColumn="0" w:oddVBand="0" w:evenVBand="0" w:oddHBand="0" w:evenHBand="0" w:firstRowFirstColumn="0" w:firstRowLastColumn="0" w:lastRowFirstColumn="0" w:lastRowLastColumn="0"/>
            <w:tcW w:w="6368" w:type="dxa"/>
          </w:tcPr>
          <w:p w14:paraId="0ACBF753" w14:textId="49946F2F" w:rsidR="00CC56AD" w:rsidRPr="00D72CF0" w:rsidRDefault="00F3232C"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Contracts, mortgages, notes and leases</w:t>
            </w:r>
          </w:p>
        </w:tc>
        <w:tc>
          <w:tcPr>
            <w:tcW w:w="1784" w:type="dxa"/>
          </w:tcPr>
          <w:p w14:paraId="4DDBDCE7" w14:textId="3C583823" w:rsidR="00CC56AD" w:rsidRPr="00CD5000" w:rsidRDefault="00B4170E" w:rsidP="004421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F3232C">
              <w:rPr>
                <w:rFonts w:asciiTheme="minorHAnsi" w:hAnsiTheme="minorHAnsi"/>
                <w:bCs/>
                <w:color w:val="000000"/>
                <w:sz w:val="22"/>
                <w:szCs w:val="22"/>
              </w:rPr>
              <w:t>7</w:t>
            </w:r>
          </w:p>
        </w:tc>
      </w:tr>
      <w:tr w:rsidR="00CC56AD" w14:paraId="10C217FE" w14:textId="77777777" w:rsidTr="00D72CF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368" w:type="dxa"/>
          </w:tcPr>
          <w:p w14:paraId="6DE7D552" w14:textId="77777777" w:rsidR="00CC56AD" w:rsidRPr="00D72CF0" w:rsidRDefault="00CC56AD"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General correspondence</w:t>
            </w:r>
          </w:p>
        </w:tc>
        <w:tc>
          <w:tcPr>
            <w:tcW w:w="1784" w:type="dxa"/>
          </w:tcPr>
          <w:p w14:paraId="71EF9F60" w14:textId="4C5C8A76" w:rsidR="00CC56AD" w:rsidRPr="00CD5000" w:rsidRDefault="00CC56AD" w:rsidP="009815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4</w:t>
            </w:r>
            <w:r w:rsidR="00B4170E">
              <w:rPr>
                <w:rFonts w:asciiTheme="minorHAnsi" w:hAnsiTheme="minorHAnsi"/>
                <w:bCs/>
                <w:color w:val="000000"/>
                <w:sz w:val="22"/>
                <w:szCs w:val="22"/>
              </w:rPr>
              <w:t xml:space="preserve"> after sent</w:t>
            </w:r>
          </w:p>
        </w:tc>
      </w:tr>
      <w:tr w:rsidR="00CC56AD" w14:paraId="2C6F1DC4" w14:textId="77777777" w:rsidTr="00D72CF0">
        <w:trPr>
          <w:trHeight w:val="369"/>
        </w:trPr>
        <w:tc>
          <w:tcPr>
            <w:cnfStyle w:val="001000000000" w:firstRow="0" w:lastRow="0" w:firstColumn="1" w:lastColumn="0" w:oddVBand="0" w:evenVBand="0" w:oddHBand="0" w:evenHBand="0" w:firstRowFirstColumn="0" w:firstRowLastColumn="0" w:lastRowFirstColumn="0" w:lastRowLastColumn="0"/>
            <w:tcW w:w="6368" w:type="dxa"/>
          </w:tcPr>
          <w:p w14:paraId="011F3754" w14:textId="77777777" w:rsidR="00CC56AD" w:rsidRPr="00D72CF0" w:rsidRDefault="00CC56AD"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Routine correspondence</w:t>
            </w:r>
          </w:p>
        </w:tc>
        <w:tc>
          <w:tcPr>
            <w:tcW w:w="1784" w:type="dxa"/>
          </w:tcPr>
          <w:p w14:paraId="259A5301" w14:textId="39E975E4" w:rsidR="00CC56AD" w:rsidRPr="00CD5000" w:rsidRDefault="00CC56AD" w:rsidP="009815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1</w:t>
            </w:r>
            <w:r w:rsidR="00B4170E">
              <w:rPr>
                <w:rFonts w:asciiTheme="minorHAnsi" w:hAnsiTheme="minorHAnsi"/>
                <w:bCs/>
                <w:color w:val="000000"/>
                <w:sz w:val="22"/>
                <w:szCs w:val="22"/>
              </w:rPr>
              <w:t xml:space="preserve"> after sent</w:t>
            </w:r>
          </w:p>
        </w:tc>
      </w:tr>
    </w:tbl>
    <w:p w14:paraId="26E3726D" w14:textId="77777777" w:rsidR="00942EA1" w:rsidRDefault="00942EA1" w:rsidP="0090101F">
      <w:pPr>
        <w:autoSpaceDE w:val="0"/>
        <w:autoSpaceDN w:val="0"/>
        <w:adjustRightInd w:val="0"/>
        <w:rPr>
          <w:rFonts w:asciiTheme="minorHAnsi" w:hAnsiTheme="minorHAnsi"/>
          <w:bCs/>
          <w:color w:val="000000"/>
          <w:sz w:val="22"/>
          <w:szCs w:val="22"/>
        </w:rPr>
      </w:pPr>
    </w:p>
    <w:p w14:paraId="47E8D6A0" w14:textId="77777777" w:rsidR="00CC56AD" w:rsidRPr="00837032" w:rsidRDefault="00CC56AD" w:rsidP="00A526D7">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 xml:space="preserve">Insurance Records </w:t>
      </w:r>
    </w:p>
    <w:p w14:paraId="4A7EA452" w14:textId="5EB828D9" w:rsidR="0090101F" w:rsidRPr="00DE000D" w:rsidRDefault="00CC56AD" w:rsidP="00A526D7">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w:t>
      </w:r>
      <w:r w:rsidRPr="00CC56AD">
        <w:rPr>
          <w:rFonts w:asciiTheme="minorHAnsi" w:hAnsiTheme="minorHAnsi"/>
          <w:bCs/>
          <w:color w:val="000000"/>
          <w:sz w:val="22"/>
          <w:szCs w:val="22"/>
        </w:rPr>
        <w:t xml:space="preserve">Legal </w:t>
      </w:r>
      <w:r w:rsidR="008E49CC">
        <w:rPr>
          <w:rFonts w:asciiTheme="minorHAnsi" w:hAnsiTheme="minorHAnsi"/>
          <w:bCs/>
          <w:color w:val="000000"/>
          <w:sz w:val="22"/>
          <w:szCs w:val="22"/>
        </w:rPr>
        <w:t>d</w:t>
      </w:r>
      <w:r w:rsidRPr="00CC56AD">
        <w:rPr>
          <w:rFonts w:asciiTheme="minorHAnsi" w:hAnsiTheme="minorHAnsi"/>
          <w:bCs/>
          <w:color w:val="000000"/>
          <w:sz w:val="22"/>
          <w:szCs w:val="22"/>
        </w:rPr>
        <w:t>epartment</w:t>
      </w:r>
      <w:r w:rsidR="009D6647">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9D6647">
        <w:rPr>
          <w:rFonts w:asciiTheme="minorHAnsi" w:hAnsiTheme="minorHAnsi"/>
          <w:bCs/>
          <w:color w:val="000000"/>
          <w:sz w:val="22"/>
          <w:szCs w:val="22"/>
        </w:rPr>
        <w:t xml:space="preserve"> retention period shall begin after the </w:t>
      </w:r>
      <w:r w:rsidR="00B4170E">
        <w:rPr>
          <w:rFonts w:asciiTheme="minorHAnsi" w:hAnsiTheme="minorHAnsi"/>
          <w:bCs/>
          <w:color w:val="000000"/>
          <w:sz w:val="22"/>
          <w:szCs w:val="22"/>
        </w:rPr>
        <w:t>termination date/</w:t>
      </w:r>
      <w:r w:rsidR="009D6647">
        <w:rPr>
          <w:rFonts w:asciiTheme="minorHAnsi" w:hAnsiTheme="minorHAnsi"/>
          <w:bCs/>
          <w:color w:val="000000"/>
          <w:sz w:val="22"/>
          <w:szCs w:val="22"/>
        </w:rPr>
        <w:t>expiration</w:t>
      </w:r>
      <w:r w:rsidR="00B4170E">
        <w:rPr>
          <w:rFonts w:asciiTheme="minorHAnsi" w:hAnsiTheme="minorHAnsi"/>
          <w:bCs/>
          <w:color w:val="000000"/>
          <w:sz w:val="22"/>
          <w:szCs w:val="22"/>
        </w:rPr>
        <w:t xml:space="preserve"> (T)</w:t>
      </w:r>
      <w:r w:rsidR="009D6647">
        <w:rPr>
          <w:rFonts w:asciiTheme="minorHAnsi" w:hAnsiTheme="minorHAnsi"/>
          <w:bCs/>
          <w:color w:val="000000"/>
          <w:sz w:val="22"/>
          <w:szCs w:val="22"/>
        </w:rPr>
        <w:t xml:space="preserve"> of the following</w:t>
      </w:r>
      <w:r w:rsidR="002E4C80" w:rsidRPr="00CC56AD">
        <w:rPr>
          <w:rFonts w:asciiTheme="minorHAnsi" w:hAnsiTheme="minorHAnsi"/>
          <w:bCs/>
          <w:color w:val="000000"/>
          <w:sz w:val="22"/>
          <w:szCs w:val="22"/>
        </w:rPr>
        <w:t>:</w:t>
      </w:r>
      <w:r w:rsidR="009D6647">
        <w:rPr>
          <w:rStyle w:val="FootnoteReference"/>
          <w:rFonts w:asciiTheme="minorHAnsi" w:hAnsiTheme="minorHAnsi"/>
          <w:bCs/>
          <w:color w:val="000000"/>
          <w:sz w:val="22"/>
          <w:szCs w:val="22"/>
        </w:rPr>
        <w:footnoteReference w:id="22"/>
      </w:r>
    </w:p>
    <w:p w14:paraId="7772C2B7" w14:textId="77777777" w:rsidR="0090101F" w:rsidRDefault="0090101F" w:rsidP="00A526D7">
      <w:pPr>
        <w:autoSpaceDE w:val="0"/>
        <w:autoSpaceDN w:val="0"/>
        <w:adjustRightInd w:val="0"/>
        <w:rPr>
          <w:rFonts w:asciiTheme="minorHAnsi" w:hAnsiTheme="minorHAnsi"/>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98150F" w14:paraId="18B7B780"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08A4DA06" w14:textId="77777777" w:rsidR="0098150F" w:rsidRDefault="0098150F" w:rsidP="0098150F">
            <w:pPr>
              <w:autoSpaceDE w:val="0"/>
              <w:autoSpaceDN w:val="0"/>
              <w:adjustRightInd w:val="0"/>
              <w:rPr>
                <w:rFonts w:asciiTheme="minorHAnsi" w:hAnsiTheme="minorHAnsi"/>
                <w:b w:val="0"/>
                <w:bCs w:val="0"/>
                <w:color w:val="000000"/>
                <w:sz w:val="22"/>
                <w:szCs w:val="22"/>
              </w:rPr>
            </w:pPr>
          </w:p>
        </w:tc>
        <w:tc>
          <w:tcPr>
            <w:tcW w:w="1784" w:type="dxa"/>
          </w:tcPr>
          <w:p w14:paraId="374CCF41" w14:textId="77777777" w:rsidR="0098150F" w:rsidRDefault="0098150F" w:rsidP="0098150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98150F" w14:paraId="731F8C90" w14:textId="77777777" w:rsidTr="00D72CF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68" w:type="dxa"/>
          </w:tcPr>
          <w:p w14:paraId="5B075688" w14:textId="111EE4ED" w:rsidR="0098150F" w:rsidRPr="00D72CF0" w:rsidRDefault="0098150F"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Insurance policies </w:t>
            </w:r>
          </w:p>
        </w:tc>
        <w:tc>
          <w:tcPr>
            <w:tcW w:w="1784" w:type="dxa"/>
          </w:tcPr>
          <w:p w14:paraId="438F7F9D" w14:textId="27322483" w:rsidR="0098150F" w:rsidRPr="00CD5000" w:rsidRDefault="00B4170E" w:rsidP="009815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98150F">
              <w:rPr>
                <w:rFonts w:asciiTheme="minorHAnsi" w:hAnsiTheme="minorHAnsi"/>
                <w:bCs/>
                <w:color w:val="000000"/>
                <w:sz w:val="22"/>
                <w:szCs w:val="22"/>
              </w:rPr>
              <w:t>20</w:t>
            </w:r>
          </w:p>
        </w:tc>
      </w:tr>
      <w:tr w:rsidR="0098150F" w14:paraId="650BE63C" w14:textId="77777777" w:rsidTr="00D72CF0">
        <w:trPr>
          <w:trHeight w:val="270"/>
        </w:trPr>
        <w:tc>
          <w:tcPr>
            <w:cnfStyle w:val="001000000000" w:firstRow="0" w:lastRow="0" w:firstColumn="1" w:lastColumn="0" w:oddVBand="0" w:evenVBand="0" w:oddHBand="0" w:evenHBand="0" w:firstRowFirstColumn="0" w:firstRowLastColumn="0" w:lastRowFirstColumn="0" w:lastRowLastColumn="0"/>
            <w:tcW w:w="6368" w:type="dxa"/>
          </w:tcPr>
          <w:p w14:paraId="1C606B0C" w14:textId="682A061C" w:rsidR="0098150F" w:rsidRPr="00D72CF0" w:rsidRDefault="0098150F" w:rsidP="0098150F">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Insurance </w:t>
            </w:r>
            <w:r w:rsidR="00BA216A" w:rsidRPr="00D72CF0">
              <w:rPr>
                <w:rFonts w:asciiTheme="minorHAnsi" w:hAnsiTheme="minorHAnsi"/>
                <w:b w:val="0"/>
                <w:color w:val="000000"/>
                <w:sz w:val="22"/>
                <w:szCs w:val="22"/>
              </w:rPr>
              <w:t>records</w:t>
            </w:r>
            <w:r w:rsidRPr="00D72CF0">
              <w:rPr>
                <w:rFonts w:asciiTheme="minorHAnsi" w:hAnsiTheme="minorHAnsi"/>
                <w:b w:val="0"/>
                <w:color w:val="000000"/>
                <w:sz w:val="22"/>
                <w:szCs w:val="22"/>
              </w:rPr>
              <w:t xml:space="preserve"> (claims, etc.)</w:t>
            </w:r>
          </w:p>
        </w:tc>
        <w:tc>
          <w:tcPr>
            <w:tcW w:w="1784" w:type="dxa"/>
          </w:tcPr>
          <w:p w14:paraId="39F77337" w14:textId="49AF9007" w:rsidR="0098150F" w:rsidRPr="00CD5000" w:rsidRDefault="00B4170E" w:rsidP="009815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98150F" w:rsidRPr="00DE000D">
              <w:rPr>
                <w:rFonts w:asciiTheme="minorHAnsi" w:hAnsiTheme="minorHAnsi"/>
                <w:bCs/>
                <w:color w:val="000000"/>
                <w:sz w:val="22"/>
                <w:szCs w:val="22"/>
              </w:rPr>
              <w:t xml:space="preserve">10 </w:t>
            </w:r>
          </w:p>
        </w:tc>
      </w:tr>
    </w:tbl>
    <w:p w14:paraId="148C8329" w14:textId="77777777" w:rsidR="0098150F" w:rsidRDefault="0098150F" w:rsidP="0090101F">
      <w:pPr>
        <w:autoSpaceDE w:val="0"/>
        <w:autoSpaceDN w:val="0"/>
        <w:adjustRightInd w:val="0"/>
        <w:rPr>
          <w:rFonts w:asciiTheme="minorHAnsi" w:hAnsiTheme="minorHAnsi"/>
          <w:b/>
          <w:bCs/>
          <w:color w:val="000000"/>
          <w:sz w:val="22"/>
          <w:szCs w:val="22"/>
          <w:u w:val="single"/>
        </w:rPr>
      </w:pPr>
    </w:p>
    <w:p w14:paraId="71DAC24E" w14:textId="77777777" w:rsidR="00942EA1" w:rsidRDefault="00942EA1" w:rsidP="0090101F">
      <w:pPr>
        <w:autoSpaceDE w:val="0"/>
        <w:autoSpaceDN w:val="0"/>
        <w:adjustRightInd w:val="0"/>
        <w:rPr>
          <w:rFonts w:asciiTheme="minorHAnsi" w:hAnsiTheme="minorHAnsi"/>
          <w:b/>
          <w:bCs/>
          <w:color w:val="000000"/>
          <w:sz w:val="22"/>
          <w:szCs w:val="22"/>
          <w:u w:val="single"/>
        </w:rPr>
      </w:pPr>
    </w:p>
    <w:p w14:paraId="651CE894" w14:textId="77777777" w:rsidR="001A180A" w:rsidRPr="00837032" w:rsidRDefault="001A180A" w:rsidP="001A180A">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Property Records</w:t>
      </w:r>
    </w:p>
    <w:p w14:paraId="211366AF" w14:textId="055D5EAE" w:rsidR="00C13F3B" w:rsidRPr="00DE000D" w:rsidRDefault="00C13F3B" w:rsidP="00C13F3B">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Property</w:t>
      </w:r>
      <w:r w:rsidR="00052829" w:rsidRPr="00DE000D">
        <w:rPr>
          <w:rFonts w:asciiTheme="minorHAnsi" w:hAnsiTheme="minorHAnsi"/>
          <w:bCs/>
          <w:color w:val="000000"/>
          <w:sz w:val="22"/>
          <w:szCs w:val="22"/>
        </w:rPr>
        <w:t xml:space="preserve"> or Legal</w:t>
      </w:r>
      <w:r w:rsidRPr="00DE000D">
        <w:rPr>
          <w:rFonts w:asciiTheme="minorHAnsi" w:hAnsiTheme="minorHAnsi"/>
          <w:bCs/>
          <w:color w:val="000000"/>
          <w:sz w:val="22"/>
          <w:szCs w:val="22"/>
        </w:rPr>
        <w:t xml:space="preserve"> </w:t>
      </w:r>
      <w:r w:rsidR="008E49CC">
        <w:rPr>
          <w:rFonts w:asciiTheme="minorHAnsi" w:hAnsiTheme="minorHAnsi"/>
          <w:bCs/>
          <w:color w:val="000000"/>
          <w:sz w:val="22"/>
          <w:szCs w:val="22"/>
        </w:rPr>
        <w:t>d</w:t>
      </w:r>
      <w:r w:rsidRPr="00DE000D">
        <w:rPr>
          <w:rFonts w:asciiTheme="minorHAnsi" w:hAnsiTheme="minorHAnsi"/>
          <w:bCs/>
          <w:color w:val="000000"/>
          <w:sz w:val="22"/>
          <w:szCs w:val="22"/>
        </w:rPr>
        <w:t>epartment</w:t>
      </w:r>
      <w:r w:rsidR="009D6647">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9D6647">
        <w:rPr>
          <w:rFonts w:asciiTheme="minorHAnsi" w:hAnsiTheme="minorHAnsi"/>
          <w:bCs/>
          <w:color w:val="000000"/>
          <w:sz w:val="22"/>
          <w:szCs w:val="22"/>
        </w:rPr>
        <w:t xml:space="preserve"> retention period shall begin after the </w:t>
      </w:r>
      <w:r w:rsidR="00B4170E">
        <w:rPr>
          <w:rFonts w:asciiTheme="minorHAnsi" w:hAnsiTheme="minorHAnsi"/>
          <w:bCs/>
          <w:color w:val="000000"/>
          <w:sz w:val="22"/>
          <w:szCs w:val="22"/>
        </w:rPr>
        <w:t>termination date/expiration (T)</w:t>
      </w:r>
      <w:r w:rsidR="009D6647">
        <w:rPr>
          <w:rFonts w:asciiTheme="minorHAnsi" w:hAnsiTheme="minorHAnsi"/>
          <w:bCs/>
          <w:color w:val="000000"/>
          <w:sz w:val="22"/>
          <w:szCs w:val="22"/>
        </w:rPr>
        <w:t xml:space="preserve"> of the following</w:t>
      </w:r>
      <w:r w:rsidR="00741AC8">
        <w:rPr>
          <w:rFonts w:asciiTheme="minorHAnsi" w:hAnsiTheme="minorHAnsi"/>
          <w:bCs/>
          <w:color w:val="000000"/>
          <w:sz w:val="22"/>
          <w:szCs w:val="22"/>
        </w:rPr>
        <w:t xml:space="preserve">, unless </w:t>
      </w:r>
      <w:r w:rsidR="002F2571">
        <w:rPr>
          <w:rFonts w:asciiTheme="minorHAnsi" w:hAnsiTheme="minorHAnsi"/>
          <w:bCs/>
          <w:color w:val="000000"/>
          <w:sz w:val="22"/>
          <w:szCs w:val="22"/>
        </w:rPr>
        <w:t>noted otherwise</w:t>
      </w:r>
      <w:r w:rsidRPr="00DE000D">
        <w:rPr>
          <w:rFonts w:asciiTheme="minorHAnsi" w:hAnsiTheme="minorHAnsi"/>
          <w:bCs/>
          <w:color w:val="000000"/>
          <w:sz w:val="22"/>
          <w:szCs w:val="22"/>
        </w:rPr>
        <w:t>:</w:t>
      </w:r>
      <w:r w:rsidR="009D6647" w:rsidRPr="009D6647">
        <w:rPr>
          <w:rFonts w:asciiTheme="minorHAnsi" w:hAnsiTheme="minorHAnsi"/>
          <w:bCs/>
          <w:color w:val="000000"/>
          <w:sz w:val="22"/>
          <w:szCs w:val="22"/>
          <w:vertAlign w:val="superscript"/>
        </w:rPr>
        <w:footnoteReference w:id="23"/>
      </w:r>
    </w:p>
    <w:p w14:paraId="00571727" w14:textId="77777777" w:rsidR="00AE26DB" w:rsidRPr="00DE000D" w:rsidRDefault="00AE26DB" w:rsidP="00AE26DB">
      <w:pPr>
        <w:autoSpaceDE w:val="0"/>
        <w:autoSpaceDN w:val="0"/>
        <w:adjustRightInd w:val="0"/>
        <w:rPr>
          <w:rFonts w:asciiTheme="minorHAnsi" w:hAnsiTheme="minorHAnsi"/>
          <w:bCs/>
          <w:color w:val="000000"/>
          <w:sz w:val="22"/>
          <w:szCs w:val="22"/>
        </w:rPr>
      </w:pPr>
    </w:p>
    <w:tbl>
      <w:tblPr>
        <w:tblStyle w:val="MediumList1-Accent3"/>
        <w:tblW w:w="0" w:type="auto"/>
        <w:tblLook w:val="04A0" w:firstRow="1" w:lastRow="0" w:firstColumn="1" w:lastColumn="0" w:noHBand="0" w:noVBand="1"/>
      </w:tblPr>
      <w:tblGrid>
        <w:gridCol w:w="6480"/>
        <w:gridCol w:w="1890"/>
      </w:tblGrid>
      <w:tr w:rsidR="00AE26DB" w14:paraId="2882D548"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0" w:type="dxa"/>
          </w:tcPr>
          <w:p w14:paraId="281FE2E6" w14:textId="77777777" w:rsidR="00AE26DB" w:rsidRDefault="00AE26DB" w:rsidP="002D16D6">
            <w:pPr>
              <w:autoSpaceDE w:val="0"/>
              <w:autoSpaceDN w:val="0"/>
              <w:adjustRightInd w:val="0"/>
              <w:rPr>
                <w:rFonts w:asciiTheme="minorHAnsi" w:hAnsiTheme="minorHAnsi"/>
                <w:b w:val="0"/>
                <w:bCs w:val="0"/>
                <w:color w:val="000000"/>
                <w:sz w:val="22"/>
                <w:szCs w:val="22"/>
              </w:rPr>
            </w:pPr>
          </w:p>
        </w:tc>
        <w:tc>
          <w:tcPr>
            <w:tcW w:w="1890" w:type="dxa"/>
          </w:tcPr>
          <w:p w14:paraId="6A506014" w14:textId="77777777" w:rsidR="00AE26DB" w:rsidRDefault="00AE26DB" w:rsidP="00F474BA">
            <w:pPr>
              <w:autoSpaceDE w:val="0"/>
              <w:autoSpaceDN w:val="0"/>
              <w:adjustRightInd w:val="0"/>
              <w:ind w:left="-108"/>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r w:rsidR="00741AC8">
              <w:rPr>
                <w:rStyle w:val="FootnoteReference"/>
                <w:rFonts w:asciiTheme="minorHAnsi" w:hAnsiTheme="minorHAnsi"/>
                <w:b/>
                <w:bCs/>
                <w:color w:val="000000"/>
                <w:sz w:val="22"/>
                <w:szCs w:val="22"/>
              </w:rPr>
              <w:footnoteReference w:id="24"/>
            </w:r>
          </w:p>
        </w:tc>
      </w:tr>
      <w:tr w:rsidR="00AE26DB" w14:paraId="6EAEBD5D" w14:textId="77777777" w:rsidTr="00D72CF0">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6480" w:type="dxa"/>
          </w:tcPr>
          <w:p w14:paraId="3E3CE1DB" w14:textId="77777777" w:rsidR="00AE26DB" w:rsidRPr="00D72CF0" w:rsidRDefault="00AE26DB"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Deeds, mortgages, and bills of sales (including funding source)   </w:t>
            </w:r>
          </w:p>
        </w:tc>
        <w:tc>
          <w:tcPr>
            <w:tcW w:w="1890" w:type="dxa"/>
          </w:tcPr>
          <w:p w14:paraId="40B158F6" w14:textId="77777777" w:rsidR="00AE26DB" w:rsidRPr="00CD5000" w:rsidRDefault="00AE26DB"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5C3FA8" w14:paraId="23606F9B" w14:textId="77777777" w:rsidTr="00D72CF0">
        <w:trPr>
          <w:trHeight w:val="369"/>
        </w:trPr>
        <w:tc>
          <w:tcPr>
            <w:cnfStyle w:val="001000000000" w:firstRow="0" w:lastRow="0" w:firstColumn="1" w:lastColumn="0" w:oddVBand="0" w:evenVBand="0" w:oddHBand="0" w:evenHBand="0" w:firstRowFirstColumn="0" w:firstRowLastColumn="0" w:lastRowFirstColumn="0" w:lastRowLastColumn="0"/>
            <w:tcW w:w="6480" w:type="dxa"/>
          </w:tcPr>
          <w:p w14:paraId="0484C017" w14:textId="7E450567" w:rsidR="005C3FA8" w:rsidRPr="00D72CF0" w:rsidRDefault="005C3FA8"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Routine repair/maintenance orders and </w:t>
            </w:r>
            <w:r w:rsidR="00BA216A" w:rsidRPr="00D72CF0">
              <w:rPr>
                <w:rFonts w:asciiTheme="minorHAnsi" w:hAnsiTheme="minorHAnsi"/>
                <w:b w:val="0"/>
                <w:color w:val="000000"/>
                <w:sz w:val="22"/>
                <w:szCs w:val="22"/>
              </w:rPr>
              <w:t>Records</w:t>
            </w:r>
          </w:p>
        </w:tc>
        <w:tc>
          <w:tcPr>
            <w:tcW w:w="1890" w:type="dxa"/>
          </w:tcPr>
          <w:p w14:paraId="73C9E4EE" w14:textId="77777777" w:rsidR="005C3FA8" w:rsidRPr="00CD5000" w:rsidRDefault="005C3FA8"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AE26DB" w14:paraId="10B8E8FC" w14:textId="77777777" w:rsidTr="00D7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1195169A" w14:textId="77777777" w:rsidR="00AE26DB" w:rsidRPr="00D72CF0" w:rsidRDefault="00AE26DB"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Inventories</w:t>
            </w:r>
          </w:p>
        </w:tc>
        <w:tc>
          <w:tcPr>
            <w:tcW w:w="1890" w:type="dxa"/>
          </w:tcPr>
          <w:p w14:paraId="1F90CA98" w14:textId="77777777" w:rsidR="00AE26DB" w:rsidRPr="00CD5000" w:rsidRDefault="00AE26DB"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8</w:t>
            </w:r>
            <w:r w:rsidR="00741AC8">
              <w:rPr>
                <w:rFonts w:asciiTheme="minorHAnsi" w:hAnsiTheme="minorHAnsi"/>
                <w:bCs/>
                <w:color w:val="000000"/>
                <w:sz w:val="22"/>
                <w:szCs w:val="22"/>
              </w:rPr>
              <w:t xml:space="preserve"> after creation</w:t>
            </w:r>
          </w:p>
        </w:tc>
      </w:tr>
      <w:tr w:rsidR="00AE26DB" w14:paraId="71CDFC54" w14:textId="77777777" w:rsidTr="00D72CF0">
        <w:trPr>
          <w:trHeight w:val="378"/>
        </w:trPr>
        <w:tc>
          <w:tcPr>
            <w:cnfStyle w:val="001000000000" w:firstRow="0" w:lastRow="0" w:firstColumn="1" w:lastColumn="0" w:oddVBand="0" w:evenVBand="0" w:oddHBand="0" w:evenHBand="0" w:firstRowFirstColumn="0" w:firstRowLastColumn="0" w:lastRowFirstColumn="0" w:lastRowLastColumn="0"/>
            <w:tcW w:w="6480" w:type="dxa"/>
          </w:tcPr>
          <w:p w14:paraId="20CED521" w14:textId="77777777" w:rsidR="00AE26DB" w:rsidRPr="00D72CF0" w:rsidRDefault="00AE26DB"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Property appraisals</w:t>
            </w:r>
          </w:p>
        </w:tc>
        <w:tc>
          <w:tcPr>
            <w:tcW w:w="1890" w:type="dxa"/>
          </w:tcPr>
          <w:p w14:paraId="39D314B3" w14:textId="0AC4FDEE" w:rsidR="00AE26DB" w:rsidRPr="00CD5000" w:rsidRDefault="00B4170E"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AE26DB">
              <w:rPr>
                <w:rFonts w:asciiTheme="minorHAnsi" w:hAnsiTheme="minorHAnsi"/>
                <w:bCs/>
                <w:color w:val="000000"/>
                <w:sz w:val="22"/>
                <w:szCs w:val="22"/>
              </w:rPr>
              <w:t>7</w:t>
            </w:r>
          </w:p>
        </w:tc>
      </w:tr>
      <w:tr w:rsidR="00AE26DB" w14:paraId="5AF92ED4" w14:textId="77777777" w:rsidTr="00D7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0656128A" w14:textId="77777777" w:rsidR="00AE26DB" w:rsidRPr="00D72CF0" w:rsidRDefault="00AE26DB"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Leases</w:t>
            </w:r>
          </w:p>
        </w:tc>
        <w:tc>
          <w:tcPr>
            <w:tcW w:w="1890" w:type="dxa"/>
          </w:tcPr>
          <w:p w14:paraId="2F11DA87" w14:textId="210439E5" w:rsidR="00AE26DB" w:rsidRPr="00CD5000" w:rsidRDefault="00B4170E"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AE26DB">
              <w:rPr>
                <w:rFonts w:asciiTheme="minorHAnsi" w:hAnsiTheme="minorHAnsi"/>
                <w:bCs/>
                <w:color w:val="000000"/>
                <w:sz w:val="22"/>
                <w:szCs w:val="22"/>
              </w:rPr>
              <w:t>7</w:t>
            </w:r>
          </w:p>
        </w:tc>
      </w:tr>
    </w:tbl>
    <w:p w14:paraId="5EEE0DC2" w14:textId="77777777" w:rsidR="001A180A" w:rsidRPr="00DE000D" w:rsidRDefault="001A180A" w:rsidP="001A180A">
      <w:pPr>
        <w:tabs>
          <w:tab w:val="left" w:pos="720"/>
          <w:tab w:val="left" w:pos="1440"/>
          <w:tab w:val="left" w:pos="2115"/>
          <w:tab w:val="left" w:pos="2160"/>
          <w:tab w:val="left" w:pos="2880"/>
          <w:tab w:val="left" w:pos="3600"/>
          <w:tab w:val="left" w:pos="4320"/>
          <w:tab w:val="left" w:pos="5040"/>
          <w:tab w:val="left" w:pos="5760"/>
          <w:tab w:val="left" w:pos="6360"/>
        </w:tabs>
        <w:autoSpaceDE w:val="0"/>
        <w:autoSpaceDN w:val="0"/>
        <w:adjustRightInd w:val="0"/>
        <w:rPr>
          <w:rFonts w:asciiTheme="minorHAnsi" w:hAnsiTheme="minorHAnsi"/>
          <w:bCs/>
          <w:color w:val="000000"/>
          <w:sz w:val="22"/>
          <w:szCs w:val="22"/>
        </w:rPr>
      </w:pPr>
    </w:p>
    <w:p w14:paraId="6D92A743" w14:textId="77777777" w:rsidR="00051E8D" w:rsidRPr="00837032" w:rsidRDefault="00A526D7" w:rsidP="00051E8D">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Human Resources Records</w:t>
      </w:r>
    </w:p>
    <w:p w14:paraId="2E27A2BD" w14:textId="7F6AB5CD" w:rsidR="002E4C80" w:rsidRDefault="00C13F3B" w:rsidP="002E4C80">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Human Resources</w:t>
      </w:r>
      <w:r w:rsidR="00741AC8">
        <w:rPr>
          <w:rFonts w:asciiTheme="minorHAnsi" w:hAnsiTheme="minorHAnsi"/>
          <w:bCs/>
          <w:color w:val="000000"/>
          <w:sz w:val="22"/>
          <w:szCs w:val="22"/>
        </w:rPr>
        <w:t xml:space="preserve"> department. The </w:t>
      </w:r>
      <w:r w:rsidR="00BA216A">
        <w:rPr>
          <w:rFonts w:asciiTheme="minorHAnsi" w:hAnsiTheme="minorHAnsi"/>
          <w:bCs/>
          <w:color w:val="000000"/>
          <w:sz w:val="22"/>
          <w:szCs w:val="22"/>
        </w:rPr>
        <w:t>Record</w:t>
      </w:r>
      <w:r w:rsidR="00741AC8">
        <w:rPr>
          <w:rFonts w:asciiTheme="minorHAnsi" w:hAnsiTheme="minorHAnsi"/>
          <w:bCs/>
          <w:color w:val="000000"/>
          <w:sz w:val="22"/>
          <w:szCs w:val="22"/>
        </w:rPr>
        <w:t xml:space="preserve"> retention period shall </w:t>
      </w:r>
      <w:r w:rsidR="002F2571">
        <w:rPr>
          <w:rFonts w:asciiTheme="minorHAnsi" w:hAnsiTheme="minorHAnsi"/>
          <w:bCs/>
          <w:color w:val="000000"/>
          <w:sz w:val="22"/>
          <w:szCs w:val="22"/>
        </w:rPr>
        <w:t xml:space="preserve">begin after the termination of employment (T) </w:t>
      </w:r>
      <w:r w:rsidR="00741AC8">
        <w:rPr>
          <w:rFonts w:asciiTheme="minorHAnsi" w:hAnsiTheme="minorHAnsi"/>
          <w:bCs/>
          <w:color w:val="000000"/>
          <w:sz w:val="22"/>
          <w:szCs w:val="22"/>
        </w:rPr>
        <w:t>of the following, unless noted otherwise</w:t>
      </w:r>
      <w:r w:rsidRPr="00DE000D">
        <w:rPr>
          <w:rFonts w:asciiTheme="minorHAnsi" w:hAnsiTheme="minorHAnsi"/>
          <w:bCs/>
          <w:color w:val="000000"/>
          <w:sz w:val="22"/>
          <w:szCs w:val="22"/>
        </w:rPr>
        <w:t>:</w:t>
      </w:r>
      <w:r w:rsidR="00741AC8" w:rsidRPr="009D6647">
        <w:rPr>
          <w:rFonts w:asciiTheme="minorHAnsi" w:hAnsiTheme="minorHAnsi"/>
          <w:bCs/>
          <w:color w:val="000000"/>
          <w:sz w:val="22"/>
          <w:szCs w:val="22"/>
          <w:vertAlign w:val="superscript"/>
        </w:rPr>
        <w:footnoteReference w:id="25"/>
      </w:r>
    </w:p>
    <w:p w14:paraId="419AE7A1" w14:textId="77777777" w:rsidR="008E49CC" w:rsidRPr="00DE000D" w:rsidRDefault="008E49CC" w:rsidP="002E4C80">
      <w:pPr>
        <w:autoSpaceDE w:val="0"/>
        <w:autoSpaceDN w:val="0"/>
        <w:adjustRightInd w:val="0"/>
        <w:rPr>
          <w:rFonts w:asciiTheme="minorHAnsi" w:hAnsiTheme="minorHAnsi"/>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2E4C80" w14:paraId="47F748A3"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6EB4E374" w14:textId="77777777" w:rsidR="002E4C80" w:rsidRDefault="002E4C80" w:rsidP="002D16D6">
            <w:pPr>
              <w:autoSpaceDE w:val="0"/>
              <w:autoSpaceDN w:val="0"/>
              <w:adjustRightInd w:val="0"/>
              <w:rPr>
                <w:rFonts w:asciiTheme="minorHAnsi" w:hAnsiTheme="minorHAnsi"/>
                <w:b w:val="0"/>
                <w:bCs w:val="0"/>
                <w:color w:val="000000"/>
                <w:sz w:val="22"/>
                <w:szCs w:val="22"/>
              </w:rPr>
            </w:pPr>
          </w:p>
        </w:tc>
        <w:tc>
          <w:tcPr>
            <w:tcW w:w="1784" w:type="dxa"/>
          </w:tcPr>
          <w:p w14:paraId="2C86BC6C" w14:textId="77777777" w:rsidR="002E4C80" w:rsidRDefault="002E4C80" w:rsidP="002D16D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5C3FA8" w14:paraId="316A6AD2" w14:textId="77777777" w:rsidTr="00D72CF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368" w:type="dxa"/>
          </w:tcPr>
          <w:p w14:paraId="59929EAD" w14:textId="77777777" w:rsidR="005C3FA8" w:rsidRPr="00D72CF0" w:rsidRDefault="005C3FA8"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Discrimination and wage claims</w:t>
            </w:r>
          </w:p>
        </w:tc>
        <w:tc>
          <w:tcPr>
            <w:tcW w:w="1784" w:type="dxa"/>
          </w:tcPr>
          <w:p w14:paraId="68DE40D7" w14:textId="77777777" w:rsidR="005C3FA8" w:rsidRDefault="005C3FA8"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5C3FA8" w14:paraId="76EB8D99" w14:textId="77777777" w:rsidTr="00D72CF0">
        <w:tc>
          <w:tcPr>
            <w:cnfStyle w:val="001000000000" w:firstRow="0" w:lastRow="0" w:firstColumn="1" w:lastColumn="0" w:oddVBand="0" w:evenVBand="0" w:oddHBand="0" w:evenHBand="0" w:firstRowFirstColumn="0" w:firstRowLastColumn="0" w:lastRowFirstColumn="0" w:lastRowLastColumn="0"/>
            <w:tcW w:w="6368" w:type="dxa"/>
          </w:tcPr>
          <w:p w14:paraId="458ADBCD" w14:textId="530FA70C" w:rsidR="005C3FA8" w:rsidRPr="00D72CF0" w:rsidRDefault="005C3FA8"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Pension </w:t>
            </w:r>
            <w:r w:rsidR="00BA216A" w:rsidRPr="00D72CF0">
              <w:rPr>
                <w:rFonts w:asciiTheme="minorHAnsi" w:hAnsiTheme="minorHAnsi"/>
                <w:b w:val="0"/>
                <w:color w:val="000000"/>
                <w:sz w:val="22"/>
                <w:szCs w:val="22"/>
              </w:rPr>
              <w:t>Records</w:t>
            </w:r>
          </w:p>
        </w:tc>
        <w:tc>
          <w:tcPr>
            <w:tcW w:w="1784" w:type="dxa"/>
          </w:tcPr>
          <w:p w14:paraId="7B1F32C4" w14:textId="77777777" w:rsidR="005C3FA8" w:rsidRDefault="005C3FA8"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5C3FA8" w14:paraId="73D2FFBF" w14:textId="77777777" w:rsidTr="00D72CF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8" w:type="dxa"/>
          </w:tcPr>
          <w:p w14:paraId="45A42549" w14:textId="46869C4E" w:rsidR="005C3FA8" w:rsidRPr="00D72CF0" w:rsidRDefault="00BA216A" w:rsidP="002F2571">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Personnel f</w:t>
            </w:r>
            <w:r w:rsidR="005C3FA8" w:rsidRPr="00D72CF0">
              <w:rPr>
                <w:rFonts w:asciiTheme="minorHAnsi" w:hAnsiTheme="minorHAnsi"/>
                <w:b w:val="0"/>
                <w:color w:val="000000"/>
                <w:sz w:val="22"/>
                <w:szCs w:val="22"/>
              </w:rPr>
              <w:t>ile</w:t>
            </w:r>
            <w:r w:rsidR="002F2571" w:rsidRPr="00D72CF0">
              <w:rPr>
                <w:rFonts w:asciiTheme="minorHAnsi" w:hAnsiTheme="minorHAnsi"/>
                <w:b w:val="0"/>
                <w:color w:val="000000"/>
                <w:sz w:val="22"/>
                <w:szCs w:val="22"/>
              </w:rPr>
              <w:t>*</w:t>
            </w:r>
            <w:r w:rsidR="005C3FA8" w:rsidRPr="00D72CF0">
              <w:rPr>
                <w:rFonts w:asciiTheme="minorHAnsi" w:hAnsiTheme="minorHAnsi"/>
                <w:b w:val="0"/>
                <w:color w:val="000000"/>
                <w:sz w:val="22"/>
                <w:szCs w:val="22"/>
              </w:rPr>
              <w:t xml:space="preserve"> </w:t>
            </w:r>
          </w:p>
        </w:tc>
        <w:tc>
          <w:tcPr>
            <w:tcW w:w="1784" w:type="dxa"/>
          </w:tcPr>
          <w:p w14:paraId="4537415A" w14:textId="0E17B5AF" w:rsidR="005C3FA8" w:rsidRDefault="002F2571"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5C3FA8">
              <w:rPr>
                <w:rFonts w:asciiTheme="minorHAnsi" w:hAnsiTheme="minorHAnsi"/>
                <w:bCs/>
                <w:color w:val="000000"/>
                <w:sz w:val="22"/>
                <w:szCs w:val="22"/>
              </w:rPr>
              <w:t>7</w:t>
            </w:r>
            <w:r w:rsidR="005C3FA8">
              <w:rPr>
                <w:rStyle w:val="FootnoteReference"/>
                <w:rFonts w:asciiTheme="minorHAnsi" w:hAnsiTheme="minorHAnsi"/>
                <w:bCs/>
                <w:color w:val="000000"/>
                <w:sz w:val="22"/>
                <w:szCs w:val="22"/>
              </w:rPr>
              <w:footnoteReference w:id="26"/>
            </w:r>
          </w:p>
        </w:tc>
      </w:tr>
      <w:tr w:rsidR="005C3FA8" w14:paraId="552ACAC5" w14:textId="77777777" w:rsidTr="00D72CF0">
        <w:trPr>
          <w:trHeight w:val="378"/>
        </w:trPr>
        <w:tc>
          <w:tcPr>
            <w:cnfStyle w:val="001000000000" w:firstRow="0" w:lastRow="0" w:firstColumn="1" w:lastColumn="0" w:oddVBand="0" w:evenVBand="0" w:oddHBand="0" w:evenHBand="0" w:firstRowFirstColumn="0" w:firstRowLastColumn="0" w:lastRowFirstColumn="0" w:lastRowLastColumn="0"/>
            <w:tcW w:w="6368" w:type="dxa"/>
          </w:tcPr>
          <w:p w14:paraId="5584FA49" w14:textId="77777777" w:rsidR="005C3FA8" w:rsidRPr="00D72CF0" w:rsidRDefault="005C3FA8"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Benefits Records</w:t>
            </w:r>
          </w:p>
        </w:tc>
        <w:tc>
          <w:tcPr>
            <w:tcW w:w="1784" w:type="dxa"/>
          </w:tcPr>
          <w:p w14:paraId="6982ACC4" w14:textId="460C252B" w:rsidR="005C3FA8" w:rsidRPr="00CD5000" w:rsidRDefault="002F2571" w:rsidP="00F47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5C3FA8">
              <w:rPr>
                <w:rFonts w:asciiTheme="minorHAnsi" w:hAnsiTheme="minorHAnsi"/>
                <w:bCs/>
                <w:color w:val="000000"/>
                <w:sz w:val="22"/>
                <w:szCs w:val="22"/>
              </w:rPr>
              <w:t>7</w:t>
            </w:r>
            <w:r w:rsidR="005C3FA8">
              <w:rPr>
                <w:rStyle w:val="FootnoteReference"/>
                <w:rFonts w:asciiTheme="minorHAnsi" w:hAnsiTheme="minorHAnsi"/>
                <w:bCs/>
                <w:color w:val="000000"/>
                <w:sz w:val="22"/>
                <w:szCs w:val="22"/>
              </w:rPr>
              <w:footnoteReference w:id="27"/>
            </w:r>
          </w:p>
        </w:tc>
      </w:tr>
      <w:tr w:rsidR="005C3FA8" w14:paraId="55F7379E" w14:textId="77777777" w:rsidTr="00D72CF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8" w:type="dxa"/>
          </w:tcPr>
          <w:p w14:paraId="65B1D329" w14:textId="529858B6" w:rsidR="005C3FA8"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Criminal background check R</w:t>
            </w:r>
            <w:r w:rsidR="005C3FA8" w:rsidRPr="00D72CF0">
              <w:rPr>
                <w:rFonts w:asciiTheme="minorHAnsi" w:hAnsiTheme="minorHAnsi"/>
                <w:b w:val="0"/>
                <w:color w:val="000000"/>
                <w:sz w:val="22"/>
                <w:szCs w:val="22"/>
              </w:rPr>
              <w:t>ecords for hired employees</w:t>
            </w:r>
          </w:p>
        </w:tc>
        <w:tc>
          <w:tcPr>
            <w:tcW w:w="1784" w:type="dxa"/>
          </w:tcPr>
          <w:p w14:paraId="71FEC5CD" w14:textId="5AFAC84C" w:rsidR="005C3FA8" w:rsidRPr="00CD5000" w:rsidRDefault="002F2571" w:rsidP="00F47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5C3FA8">
              <w:rPr>
                <w:rFonts w:asciiTheme="minorHAnsi" w:hAnsiTheme="minorHAnsi"/>
                <w:bCs/>
                <w:color w:val="000000"/>
                <w:sz w:val="22"/>
                <w:szCs w:val="22"/>
              </w:rPr>
              <w:t>7</w:t>
            </w:r>
          </w:p>
        </w:tc>
      </w:tr>
      <w:tr w:rsidR="005C3FA8" w14:paraId="12A39012" w14:textId="77777777" w:rsidTr="00D72CF0">
        <w:trPr>
          <w:trHeight w:val="315"/>
        </w:trPr>
        <w:tc>
          <w:tcPr>
            <w:cnfStyle w:val="001000000000" w:firstRow="0" w:lastRow="0" w:firstColumn="1" w:lastColumn="0" w:oddVBand="0" w:evenVBand="0" w:oddHBand="0" w:evenHBand="0" w:firstRowFirstColumn="0" w:firstRowLastColumn="0" w:lastRowFirstColumn="0" w:lastRowLastColumn="0"/>
            <w:tcW w:w="6368" w:type="dxa"/>
          </w:tcPr>
          <w:p w14:paraId="0C8A3289" w14:textId="67DFC494" w:rsidR="005C3FA8" w:rsidRPr="00D72CF0" w:rsidRDefault="00BA216A"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Job d</w:t>
            </w:r>
            <w:r w:rsidR="005C3FA8" w:rsidRPr="00D72CF0">
              <w:rPr>
                <w:rFonts w:asciiTheme="minorHAnsi" w:hAnsiTheme="minorHAnsi"/>
                <w:b w:val="0"/>
                <w:color w:val="000000"/>
                <w:sz w:val="22"/>
                <w:szCs w:val="22"/>
              </w:rPr>
              <w:t>escriptions</w:t>
            </w:r>
          </w:p>
        </w:tc>
        <w:tc>
          <w:tcPr>
            <w:tcW w:w="1784" w:type="dxa"/>
          </w:tcPr>
          <w:p w14:paraId="2CC16745" w14:textId="61E2F81B" w:rsidR="005C3FA8" w:rsidRPr="00CD5000" w:rsidRDefault="002F2571" w:rsidP="002F25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5C3FA8">
              <w:rPr>
                <w:rFonts w:asciiTheme="minorHAnsi" w:hAnsiTheme="minorHAnsi"/>
                <w:bCs/>
                <w:color w:val="000000"/>
                <w:sz w:val="22"/>
                <w:szCs w:val="22"/>
              </w:rPr>
              <w:t>7</w:t>
            </w:r>
          </w:p>
        </w:tc>
      </w:tr>
      <w:tr w:rsidR="002E4C80" w14:paraId="31D45D7D" w14:textId="77777777" w:rsidTr="00D7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14:paraId="240FB3C4" w14:textId="4DF22273" w:rsidR="002E4C80" w:rsidRPr="00D72CF0" w:rsidRDefault="002E4C80"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I-9s</w:t>
            </w:r>
            <w:r w:rsidR="00071CF9" w:rsidRPr="00D72CF0">
              <w:rPr>
                <w:rFonts w:asciiTheme="minorHAnsi" w:hAnsiTheme="minorHAnsi"/>
                <w:b w:val="0"/>
                <w:color w:val="000000"/>
                <w:sz w:val="22"/>
                <w:szCs w:val="22"/>
              </w:rPr>
              <w:t xml:space="preserve"> </w:t>
            </w:r>
            <w:r w:rsidR="005C3FA8" w:rsidRPr="00D72CF0">
              <w:rPr>
                <w:rFonts w:asciiTheme="minorHAnsi" w:hAnsiTheme="minorHAnsi"/>
                <w:b w:val="0"/>
                <w:color w:val="000000"/>
                <w:sz w:val="22"/>
                <w:szCs w:val="22"/>
              </w:rPr>
              <w:t>(</w:t>
            </w:r>
            <w:r w:rsidR="00071CF9" w:rsidRPr="00D72CF0">
              <w:rPr>
                <w:rFonts w:asciiTheme="minorHAnsi" w:hAnsiTheme="minorHAnsi"/>
                <w:b w:val="0"/>
                <w:color w:val="000000"/>
                <w:sz w:val="22"/>
                <w:szCs w:val="22"/>
              </w:rPr>
              <w:t>not hired</w:t>
            </w:r>
            <w:r w:rsidR="005C3FA8" w:rsidRPr="00D72CF0">
              <w:rPr>
                <w:rFonts w:asciiTheme="minorHAnsi" w:hAnsiTheme="minorHAnsi"/>
                <w:b w:val="0"/>
                <w:color w:val="000000"/>
                <w:sz w:val="22"/>
                <w:szCs w:val="22"/>
              </w:rPr>
              <w:t>)</w:t>
            </w:r>
          </w:p>
        </w:tc>
        <w:tc>
          <w:tcPr>
            <w:tcW w:w="1784" w:type="dxa"/>
          </w:tcPr>
          <w:p w14:paraId="09703CAD" w14:textId="56E7DDCD" w:rsidR="002E4C80" w:rsidRPr="008E49CC" w:rsidRDefault="00B65C97" w:rsidP="00071C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4</w:t>
            </w:r>
            <w:r w:rsidR="002E4C80" w:rsidRPr="008E49CC">
              <w:rPr>
                <w:rFonts w:asciiTheme="minorHAnsi" w:hAnsiTheme="minorHAnsi"/>
                <w:bCs/>
                <w:color w:val="000000"/>
                <w:sz w:val="22"/>
                <w:szCs w:val="22"/>
              </w:rPr>
              <w:t xml:space="preserve"> after </w:t>
            </w:r>
            <w:r w:rsidR="00071CF9" w:rsidRPr="008E49CC">
              <w:rPr>
                <w:rFonts w:asciiTheme="minorHAnsi" w:hAnsiTheme="minorHAnsi"/>
                <w:bCs/>
                <w:color w:val="000000"/>
                <w:sz w:val="22"/>
                <w:szCs w:val="22"/>
              </w:rPr>
              <w:t>date of recruitment or referral</w:t>
            </w:r>
            <w:r w:rsidR="00741AC8" w:rsidRPr="008E49CC">
              <w:rPr>
                <w:rStyle w:val="FootnoteReference"/>
                <w:rFonts w:asciiTheme="minorHAnsi" w:hAnsiTheme="minorHAnsi"/>
                <w:bCs/>
                <w:color w:val="000000"/>
                <w:sz w:val="22"/>
                <w:szCs w:val="22"/>
              </w:rPr>
              <w:footnoteReference w:id="28"/>
            </w:r>
          </w:p>
        </w:tc>
      </w:tr>
      <w:tr w:rsidR="002E4C80" w14:paraId="4515032B" w14:textId="77777777" w:rsidTr="00D72CF0">
        <w:trPr>
          <w:trHeight w:val="306"/>
        </w:trPr>
        <w:tc>
          <w:tcPr>
            <w:cnfStyle w:val="001000000000" w:firstRow="0" w:lastRow="0" w:firstColumn="1" w:lastColumn="0" w:oddVBand="0" w:evenVBand="0" w:oddHBand="0" w:evenHBand="0" w:firstRowFirstColumn="0" w:firstRowLastColumn="0" w:lastRowFirstColumn="0" w:lastRowLastColumn="0"/>
            <w:tcW w:w="6368" w:type="dxa"/>
          </w:tcPr>
          <w:p w14:paraId="286A2F38" w14:textId="77777777" w:rsidR="002E4C80" w:rsidRPr="00D72CF0" w:rsidRDefault="002E4C80"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Leave files, including FMLA</w:t>
            </w:r>
          </w:p>
        </w:tc>
        <w:tc>
          <w:tcPr>
            <w:tcW w:w="1784" w:type="dxa"/>
          </w:tcPr>
          <w:p w14:paraId="0CA22FEB" w14:textId="5B54FE3F" w:rsidR="002E4C80" w:rsidRDefault="002F2571" w:rsidP="002D16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B65C97">
              <w:rPr>
                <w:rFonts w:asciiTheme="minorHAnsi" w:hAnsiTheme="minorHAnsi"/>
                <w:bCs/>
                <w:color w:val="000000"/>
                <w:sz w:val="22"/>
                <w:szCs w:val="22"/>
              </w:rPr>
              <w:t>4</w:t>
            </w:r>
            <w:r w:rsidR="00741AC8">
              <w:rPr>
                <w:rStyle w:val="FootnoteReference"/>
                <w:rFonts w:asciiTheme="minorHAnsi" w:hAnsiTheme="minorHAnsi"/>
                <w:bCs/>
                <w:color w:val="000000"/>
                <w:sz w:val="22"/>
                <w:szCs w:val="22"/>
              </w:rPr>
              <w:footnoteReference w:id="29"/>
            </w:r>
          </w:p>
        </w:tc>
      </w:tr>
      <w:tr w:rsidR="005C3FA8" w14:paraId="2FED82CB" w14:textId="77777777" w:rsidTr="00D72CF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368" w:type="dxa"/>
          </w:tcPr>
          <w:p w14:paraId="229720EA" w14:textId="77777777" w:rsidR="005C3FA8" w:rsidRPr="00D72CF0" w:rsidRDefault="005C3FA8"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Applications (not hired)</w:t>
            </w:r>
            <w:r w:rsidRPr="00D72CF0">
              <w:rPr>
                <w:rFonts w:asciiTheme="minorHAnsi" w:hAnsiTheme="minorHAnsi"/>
                <w:b w:val="0"/>
                <w:color w:val="000000"/>
                <w:sz w:val="22"/>
                <w:szCs w:val="22"/>
              </w:rPr>
              <w:tab/>
            </w:r>
          </w:p>
        </w:tc>
        <w:tc>
          <w:tcPr>
            <w:tcW w:w="1784" w:type="dxa"/>
          </w:tcPr>
          <w:p w14:paraId="1AD67259" w14:textId="0D1D8E91" w:rsidR="005C3FA8" w:rsidRPr="00CD5000" w:rsidRDefault="005C3FA8" w:rsidP="00AF7F4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1</w:t>
            </w:r>
            <w:r w:rsidR="002F2571">
              <w:rPr>
                <w:rFonts w:asciiTheme="minorHAnsi" w:hAnsiTheme="minorHAnsi"/>
                <w:bCs/>
                <w:color w:val="000000"/>
                <w:sz w:val="22"/>
                <w:szCs w:val="22"/>
              </w:rPr>
              <w:t xml:space="preserve"> after receipt</w:t>
            </w:r>
          </w:p>
        </w:tc>
      </w:tr>
      <w:tr w:rsidR="005C3FA8" w14:paraId="0385DF33" w14:textId="77777777" w:rsidTr="00D72CF0">
        <w:trPr>
          <w:trHeight w:val="369"/>
        </w:trPr>
        <w:tc>
          <w:tcPr>
            <w:cnfStyle w:val="001000000000" w:firstRow="0" w:lastRow="0" w:firstColumn="1" w:lastColumn="0" w:oddVBand="0" w:evenVBand="0" w:oddHBand="0" w:evenHBand="0" w:firstRowFirstColumn="0" w:firstRowLastColumn="0" w:lastRowFirstColumn="0" w:lastRowLastColumn="0"/>
            <w:tcW w:w="6368" w:type="dxa"/>
          </w:tcPr>
          <w:p w14:paraId="45BF8402" w14:textId="7C143A79" w:rsidR="005C3FA8" w:rsidRPr="00D72CF0" w:rsidRDefault="00BA216A" w:rsidP="00BA216A">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Criminal b</w:t>
            </w:r>
            <w:r w:rsidR="005C3FA8" w:rsidRPr="00D72CF0">
              <w:rPr>
                <w:rFonts w:asciiTheme="minorHAnsi" w:hAnsiTheme="minorHAnsi"/>
                <w:b w:val="0"/>
                <w:color w:val="000000"/>
                <w:sz w:val="22"/>
                <w:szCs w:val="22"/>
              </w:rPr>
              <w:t xml:space="preserve">ackground </w:t>
            </w:r>
            <w:r w:rsidRPr="00D72CF0">
              <w:rPr>
                <w:rFonts w:asciiTheme="minorHAnsi" w:hAnsiTheme="minorHAnsi"/>
                <w:b w:val="0"/>
                <w:color w:val="000000"/>
                <w:sz w:val="22"/>
                <w:szCs w:val="22"/>
              </w:rPr>
              <w:t>c</w:t>
            </w:r>
            <w:r w:rsidR="005C3FA8" w:rsidRPr="00D72CF0">
              <w:rPr>
                <w:rFonts w:asciiTheme="minorHAnsi" w:hAnsiTheme="minorHAnsi"/>
                <w:b w:val="0"/>
                <w:color w:val="000000"/>
                <w:sz w:val="22"/>
                <w:szCs w:val="22"/>
              </w:rPr>
              <w:t>heck Records (not hired)</w:t>
            </w:r>
          </w:p>
        </w:tc>
        <w:tc>
          <w:tcPr>
            <w:tcW w:w="1784" w:type="dxa"/>
          </w:tcPr>
          <w:p w14:paraId="5F380788" w14:textId="41F3074C" w:rsidR="005C3FA8" w:rsidRPr="00CD5000" w:rsidRDefault="005C3FA8" w:rsidP="00AF7F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1</w:t>
            </w:r>
            <w:r w:rsidR="002F2571">
              <w:rPr>
                <w:rFonts w:asciiTheme="minorHAnsi" w:hAnsiTheme="minorHAnsi"/>
                <w:bCs/>
                <w:color w:val="000000"/>
                <w:sz w:val="22"/>
                <w:szCs w:val="22"/>
              </w:rPr>
              <w:t xml:space="preserve"> after receipt</w:t>
            </w:r>
          </w:p>
        </w:tc>
      </w:tr>
    </w:tbl>
    <w:p w14:paraId="52275652" w14:textId="7BD3755C" w:rsidR="005F5E19" w:rsidRPr="002E4C80" w:rsidRDefault="002E4C80" w:rsidP="002E4C80">
      <w:pPr>
        <w:autoSpaceDE w:val="0"/>
        <w:autoSpaceDN w:val="0"/>
        <w:adjustRightInd w:val="0"/>
        <w:rPr>
          <w:rFonts w:asciiTheme="minorHAnsi" w:hAnsiTheme="minorHAnsi"/>
          <w:bCs/>
          <w:i/>
          <w:color w:val="000000"/>
          <w:sz w:val="20"/>
          <w:szCs w:val="20"/>
        </w:rPr>
      </w:pPr>
      <w:r>
        <w:rPr>
          <w:rFonts w:asciiTheme="minorHAnsi" w:hAnsiTheme="minorHAnsi"/>
          <w:bCs/>
          <w:color w:val="000000"/>
          <w:sz w:val="22"/>
          <w:szCs w:val="22"/>
        </w:rPr>
        <w:t>*</w:t>
      </w:r>
      <w:r w:rsidRPr="002E4C80">
        <w:rPr>
          <w:rFonts w:asciiTheme="minorHAnsi" w:hAnsiTheme="minorHAnsi"/>
          <w:bCs/>
          <w:i/>
          <w:color w:val="000000"/>
          <w:sz w:val="20"/>
          <w:szCs w:val="20"/>
        </w:rPr>
        <w:t xml:space="preserve">Personnel File=I-9, application, resume, job description, payroll authorization, hiring packet, evaluation and other </w:t>
      </w:r>
      <w:r w:rsidR="00BA216A">
        <w:rPr>
          <w:rFonts w:asciiTheme="minorHAnsi" w:hAnsiTheme="minorHAnsi"/>
          <w:bCs/>
          <w:i/>
          <w:color w:val="000000"/>
          <w:sz w:val="20"/>
          <w:szCs w:val="20"/>
        </w:rPr>
        <w:t>Records</w:t>
      </w:r>
      <w:r w:rsidRPr="002E4C80">
        <w:rPr>
          <w:rFonts w:asciiTheme="minorHAnsi" w:hAnsiTheme="minorHAnsi"/>
          <w:bCs/>
          <w:i/>
          <w:color w:val="000000"/>
          <w:sz w:val="20"/>
          <w:szCs w:val="20"/>
        </w:rPr>
        <w:t xml:space="preserve"> relating to performance, change of status</w:t>
      </w:r>
    </w:p>
    <w:p w14:paraId="4A276F7D" w14:textId="77777777" w:rsidR="002E4C80" w:rsidRDefault="002E4C80" w:rsidP="002E4C80">
      <w:pPr>
        <w:autoSpaceDE w:val="0"/>
        <w:autoSpaceDN w:val="0"/>
        <w:adjustRightInd w:val="0"/>
        <w:rPr>
          <w:rFonts w:asciiTheme="minorHAnsi" w:hAnsiTheme="minorHAnsi"/>
          <w:bCs/>
          <w:color w:val="000000"/>
          <w:sz w:val="22"/>
          <w:szCs w:val="22"/>
        </w:rPr>
      </w:pPr>
    </w:p>
    <w:p w14:paraId="65ECF73C" w14:textId="77777777" w:rsidR="00C13F3B" w:rsidRPr="00837032" w:rsidRDefault="001A180A" w:rsidP="00C13F3B">
      <w:pPr>
        <w:autoSpaceDE w:val="0"/>
        <w:autoSpaceDN w:val="0"/>
        <w:adjustRightInd w:val="0"/>
        <w:rPr>
          <w:rFonts w:asciiTheme="minorHAnsi" w:hAnsiTheme="minorHAnsi"/>
          <w:bCs/>
          <w:color w:val="000000"/>
          <w:sz w:val="22"/>
          <w:szCs w:val="22"/>
          <w:u w:val="single"/>
        </w:rPr>
      </w:pPr>
      <w:r w:rsidRPr="00837032">
        <w:rPr>
          <w:rFonts w:asciiTheme="minorHAnsi" w:hAnsiTheme="minorHAnsi"/>
          <w:bCs/>
          <w:color w:val="000000"/>
          <w:sz w:val="22"/>
          <w:szCs w:val="22"/>
          <w:u w:val="single"/>
        </w:rPr>
        <w:t xml:space="preserve">Public Information </w:t>
      </w:r>
      <w:r w:rsidR="00265124" w:rsidRPr="00837032">
        <w:rPr>
          <w:rFonts w:asciiTheme="minorHAnsi" w:hAnsiTheme="minorHAnsi"/>
          <w:bCs/>
          <w:color w:val="000000"/>
          <w:sz w:val="22"/>
          <w:szCs w:val="22"/>
          <w:u w:val="single"/>
        </w:rPr>
        <w:t>Records</w:t>
      </w:r>
    </w:p>
    <w:p w14:paraId="4ED5970E" w14:textId="08375100" w:rsidR="00C13F3B" w:rsidRPr="00DE000D" w:rsidRDefault="00C13F3B" w:rsidP="00C13F3B">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Public Relations/Communications </w:t>
      </w:r>
      <w:r w:rsidR="008E49CC">
        <w:rPr>
          <w:rFonts w:asciiTheme="minorHAnsi" w:hAnsiTheme="minorHAnsi"/>
          <w:bCs/>
          <w:color w:val="000000"/>
          <w:sz w:val="22"/>
          <w:szCs w:val="22"/>
        </w:rPr>
        <w:t>d</w:t>
      </w:r>
      <w:r w:rsidRPr="00DE000D">
        <w:rPr>
          <w:rFonts w:asciiTheme="minorHAnsi" w:hAnsiTheme="minorHAnsi"/>
          <w:bCs/>
          <w:color w:val="000000"/>
          <w:sz w:val="22"/>
          <w:szCs w:val="22"/>
        </w:rPr>
        <w:t>epartment</w:t>
      </w:r>
      <w:r w:rsidR="00F82BC2">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F82BC2">
        <w:rPr>
          <w:rFonts w:asciiTheme="minorHAnsi" w:hAnsiTheme="minorHAnsi"/>
          <w:bCs/>
          <w:color w:val="000000"/>
          <w:sz w:val="22"/>
          <w:szCs w:val="22"/>
        </w:rPr>
        <w:t xml:space="preserve"> retention period shall begin upon the release </w:t>
      </w:r>
      <w:r w:rsidR="002F2571">
        <w:rPr>
          <w:rFonts w:asciiTheme="minorHAnsi" w:hAnsiTheme="minorHAnsi"/>
          <w:bCs/>
          <w:color w:val="000000"/>
          <w:sz w:val="22"/>
          <w:szCs w:val="22"/>
        </w:rPr>
        <w:t xml:space="preserve">(R) </w:t>
      </w:r>
      <w:r w:rsidR="00F82BC2">
        <w:rPr>
          <w:rFonts w:asciiTheme="minorHAnsi" w:hAnsiTheme="minorHAnsi"/>
          <w:bCs/>
          <w:color w:val="000000"/>
          <w:sz w:val="22"/>
          <w:szCs w:val="22"/>
        </w:rPr>
        <w:t>of the following</w:t>
      </w:r>
      <w:r w:rsidR="00922B9E">
        <w:rPr>
          <w:rFonts w:asciiTheme="minorHAnsi" w:hAnsiTheme="minorHAnsi"/>
          <w:bCs/>
          <w:color w:val="000000"/>
          <w:sz w:val="22"/>
          <w:szCs w:val="22"/>
        </w:rPr>
        <w:t>, unless noted otherwise</w:t>
      </w:r>
      <w:r w:rsidRPr="00DE000D">
        <w:rPr>
          <w:rFonts w:asciiTheme="minorHAnsi" w:hAnsiTheme="minorHAnsi"/>
          <w:bCs/>
          <w:color w:val="000000"/>
          <w:sz w:val="22"/>
          <w:szCs w:val="22"/>
        </w:rPr>
        <w:t>:</w:t>
      </w:r>
      <w:r w:rsidR="00F82BC2" w:rsidRPr="009D6647">
        <w:rPr>
          <w:rFonts w:asciiTheme="minorHAnsi" w:hAnsiTheme="minorHAnsi"/>
          <w:bCs/>
          <w:color w:val="000000"/>
          <w:sz w:val="22"/>
          <w:szCs w:val="22"/>
          <w:vertAlign w:val="superscript"/>
        </w:rPr>
        <w:footnoteReference w:id="30"/>
      </w:r>
    </w:p>
    <w:p w14:paraId="7310E141" w14:textId="77777777" w:rsidR="00C13F3B" w:rsidRPr="00DE000D" w:rsidRDefault="00C13F3B" w:rsidP="00C13F3B">
      <w:pPr>
        <w:autoSpaceDE w:val="0"/>
        <w:autoSpaceDN w:val="0"/>
        <w:adjustRightInd w:val="0"/>
        <w:rPr>
          <w:rFonts w:asciiTheme="minorHAnsi" w:hAnsiTheme="minorHAnsi"/>
          <w:b/>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E17423" w14:paraId="5FA23D8B"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699E6D67" w14:textId="77777777" w:rsidR="00E17423" w:rsidRDefault="00E17423" w:rsidP="002D16D6">
            <w:pPr>
              <w:autoSpaceDE w:val="0"/>
              <w:autoSpaceDN w:val="0"/>
              <w:adjustRightInd w:val="0"/>
              <w:rPr>
                <w:rFonts w:asciiTheme="minorHAnsi" w:hAnsiTheme="minorHAnsi"/>
                <w:b w:val="0"/>
                <w:bCs w:val="0"/>
                <w:color w:val="000000"/>
                <w:sz w:val="22"/>
                <w:szCs w:val="22"/>
              </w:rPr>
            </w:pPr>
          </w:p>
        </w:tc>
        <w:tc>
          <w:tcPr>
            <w:tcW w:w="1784" w:type="dxa"/>
          </w:tcPr>
          <w:p w14:paraId="7DD7ECBE" w14:textId="77777777" w:rsidR="00E17423" w:rsidRDefault="00E17423" w:rsidP="002D16D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5C3FA8" w14:paraId="7B0C247B" w14:textId="77777777" w:rsidTr="00D72C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368" w:type="dxa"/>
          </w:tcPr>
          <w:p w14:paraId="096FC5EA" w14:textId="77777777" w:rsidR="005C3FA8" w:rsidRPr="00D72CF0" w:rsidRDefault="005C3FA8" w:rsidP="00AF7F42">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Articles and press clippings</w:t>
            </w:r>
          </w:p>
        </w:tc>
        <w:tc>
          <w:tcPr>
            <w:tcW w:w="1784" w:type="dxa"/>
          </w:tcPr>
          <w:p w14:paraId="2008575C" w14:textId="77777777" w:rsidR="005C3FA8" w:rsidRPr="00CD5000" w:rsidRDefault="005C3FA8" w:rsidP="00AF7F4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5C3FA8" w14:paraId="54BC0528" w14:textId="77777777" w:rsidTr="00D72CF0">
        <w:trPr>
          <w:trHeight w:val="270"/>
        </w:trPr>
        <w:tc>
          <w:tcPr>
            <w:cnfStyle w:val="001000000000" w:firstRow="0" w:lastRow="0" w:firstColumn="1" w:lastColumn="0" w:oddVBand="0" w:evenVBand="0" w:oddHBand="0" w:evenHBand="0" w:firstRowFirstColumn="0" w:firstRowLastColumn="0" w:lastRowFirstColumn="0" w:lastRowLastColumn="0"/>
            <w:tcW w:w="6368" w:type="dxa"/>
          </w:tcPr>
          <w:p w14:paraId="1BE08E81" w14:textId="77777777" w:rsidR="005C3FA8" w:rsidRPr="00D72CF0" w:rsidRDefault="005C3FA8" w:rsidP="00AF7F42">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Annual reports</w:t>
            </w:r>
          </w:p>
        </w:tc>
        <w:tc>
          <w:tcPr>
            <w:tcW w:w="1784" w:type="dxa"/>
          </w:tcPr>
          <w:p w14:paraId="10C79C18" w14:textId="77777777" w:rsidR="005C3FA8" w:rsidRPr="00CD5000" w:rsidRDefault="005C3FA8" w:rsidP="00AF7F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5C3FA8" w14:paraId="330D7C77" w14:textId="77777777" w:rsidTr="00D7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14:paraId="56736356" w14:textId="77777777" w:rsidR="005C3FA8" w:rsidRPr="00D72CF0" w:rsidRDefault="005C3FA8" w:rsidP="00AF7F42">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Program brochures</w:t>
            </w:r>
          </w:p>
        </w:tc>
        <w:tc>
          <w:tcPr>
            <w:tcW w:w="1784" w:type="dxa"/>
          </w:tcPr>
          <w:p w14:paraId="23B6B369" w14:textId="4E68582F" w:rsidR="005C3FA8" w:rsidRPr="00CD5000" w:rsidRDefault="002F2571" w:rsidP="00AF7F4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R+</w:t>
            </w:r>
            <w:r w:rsidR="005C3FA8">
              <w:rPr>
                <w:rFonts w:asciiTheme="minorHAnsi" w:hAnsiTheme="minorHAnsi"/>
                <w:bCs/>
                <w:color w:val="000000"/>
                <w:sz w:val="22"/>
                <w:szCs w:val="22"/>
              </w:rPr>
              <w:t>7</w:t>
            </w:r>
          </w:p>
        </w:tc>
      </w:tr>
      <w:tr w:rsidR="00E17423" w14:paraId="4F5F302C" w14:textId="77777777" w:rsidTr="00D72CF0">
        <w:trPr>
          <w:trHeight w:val="287"/>
        </w:trPr>
        <w:tc>
          <w:tcPr>
            <w:cnfStyle w:val="001000000000" w:firstRow="0" w:lastRow="0" w:firstColumn="1" w:lastColumn="0" w:oddVBand="0" w:evenVBand="0" w:oddHBand="0" w:evenHBand="0" w:firstRowFirstColumn="0" w:firstRowLastColumn="0" w:lastRowFirstColumn="0" w:lastRowLastColumn="0"/>
            <w:tcW w:w="6368" w:type="dxa"/>
          </w:tcPr>
          <w:p w14:paraId="6E1FD589" w14:textId="77777777" w:rsidR="00E17423" w:rsidRPr="00D72CF0" w:rsidRDefault="00E17423" w:rsidP="002D16D6">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Press releases   </w:t>
            </w:r>
          </w:p>
        </w:tc>
        <w:tc>
          <w:tcPr>
            <w:tcW w:w="1784" w:type="dxa"/>
          </w:tcPr>
          <w:p w14:paraId="564FD304" w14:textId="6BD600E7" w:rsidR="00E17423" w:rsidRPr="00CD5000" w:rsidRDefault="00DA129E" w:rsidP="002D16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R+</w:t>
            </w:r>
            <w:r w:rsidR="00E17423">
              <w:rPr>
                <w:rFonts w:asciiTheme="minorHAnsi" w:hAnsiTheme="minorHAnsi"/>
                <w:bCs/>
                <w:color w:val="000000"/>
                <w:sz w:val="22"/>
                <w:szCs w:val="22"/>
              </w:rPr>
              <w:t>3</w:t>
            </w:r>
          </w:p>
        </w:tc>
      </w:tr>
    </w:tbl>
    <w:p w14:paraId="0BED7D01" w14:textId="77777777" w:rsidR="00DA129E" w:rsidRDefault="00DA129E" w:rsidP="001A180A">
      <w:pPr>
        <w:autoSpaceDE w:val="0"/>
        <w:autoSpaceDN w:val="0"/>
        <w:adjustRightInd w:val="0"/>
        <w:rPr>
          <w:rFonts w:asciiTheme="minorHAnsi" w:hAnsiTheme="minorHAnsi"/>
          <w:bCs/>
          <w:color w:val="000000"/>
          <w:sz w:val="22"/>
          <w:szCs w:val="22"/>
        </w:rPr>
      </w:pPr>
    </w:p>
    <w:p w14:paraId="6AD93E44" w14:textId="396A7A79" w:rsidR="001A180A" w:rsidRPr="0023527D" w:rsidRDefault="001A180A" w:rsidP="001A180A">
      <w:pPr>
        <w:autoSpaceDE w:val="0"/>
        <w:autoSpaceDN w:val="0"/>
        <w:adjustRightInd w:val="0"/>
        <w:rPr>
          <w:rFonts w:asciiTheme="minorHAnsi" w:hAnsiTheme="minorHAnsi"/>
          <w:bCs/>
          <w:color w:val="000000"/>
          <w:sz w:val="22"/>
          <w:szCs w:val="22"/>
          <w:u w:val="single"/>
        </w:rPr>
      </w:pPr>
      <w:r w:rsidRPr="0023527D">
        <w:rPr>
          <w:rFonts w:asciiTheme="minorHAnsi" w:hAnsiTheme="minorHAnsi"/>
          <w:bCs/>
          <w:color w:val="000000"/>
          <w:sz w:val="22"/>
          <w:szCs w:val="22"/>
          <w:u w:val="single"/>
        </w:rPr>
        <w:t>Proposals and Fundraising</w:t>
      </w:r>
    </w:p>
    <w:p w14:paraId="2B3698DC" w14:textId="6F9B6C14" w:rsidR="00C13F3B" w:rsidRPr="00DE000D" w:rsidRDefault="00C13F3B" w:rsidP="001A180A">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Executive Office</w:t>
      </w:r>
      <w:r w:rsidR="00F82BC2">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F82BC2">
        <w:rPr>
          <w:rFonts w:asciiTheme="minorHAnsi" w:hAnsiTheme="minorHAnsi"/>
          <w:bCs/>
          <w:color w:val="000000"/>
          <w:sz w:val="22"/>
          <w:szCs w:val="22"/>
        </w:rPr>
        <w:t xml:space="preserve"> retention period shall begin upon </w:t>
      </w:r>
      <w:r w:rsidR="00DA129E">
        <w:rPr>
          <w:rFonts w:asciiTheme="minorHAnsi" w:hAnsiTheme="minorHAnsi"/>
          <w:bCs/>
          <w:color w:val="000000"/>
          <w:sz w:val="22"/>
          <w:szCs w:val="22"/>
        </w:rPr>
        <w:t>the program termination date/</w:t>
      </w:r>
      <w:r w:rsidR="00F82BC2">
        <w:rPr>
          <w:rFonts w:asciiTheme="minorHAnsi" w:hAnsiTheme="minorHAnsi"/>
          <w:bCs/>
          <w:color w:val="000000"/>
          <w:sz w:val="22"/>
          <w:szCs w:val="22"/>
        </w:rPr>
        <w:t xml:space="preserve">expiration </w:t>
      </w:r>
      <w:r w:rsidR="00DA129E">
        <w:rPr>
          <w:rFonts w:asciiTheme="minorHAnsi" w:hAnsiTheme="minorHAnsi"/>
          <w:bCs/>
          <w:color w:val="000000"/>
          <w:sz w:val="22"/>
          <w:szCs w:val="22"/>
        </w:rPr>
        <w:t>(T), unless noted otherwise</w:t>
      </w:r>
      <w:r w:rsidRPr="00DE000D">
        <w:rPr>
          <w:rFonts w:asciiTheme="minorHAnsi" w:hAnsiTheme="minorHAnsi"/>
          <w:bCs/>
          <w:color w:val="000000"/>
          <w:sz w:val="22"/>
          <w:szCs w:val="22"/>
        </w:rPr>
        <w:t>:</w:t>
      </w:r>
      <w:r w:rsidR="00F82BC2">
        <w:rPr>
          <w:rStyle w:val="FootnoteReference"/>
          <w:rFonts w:asciiTheme="minorHAnsi" w:hAnsiTheme="minorHAnsi"/>
          <w:bCs/>
          <w:color w:val="000000"/>
          <w:sz w:val="22"/>
          <w:szCs w:val="22"/>
        </w:rPr>
        <w:footnoteReference w:id="31"/>
      </w:r>
    </w:p>
    <w:p w14:paraId="689307F6" w14:textId="77777777" w:rsidR="00C13F3B" w:rsidRDefault="00C13F3B" w:rsidP="001A180A">
      <w:pPr>
        <w:autoSpaceDE w:val="0"/>
        <w:autoSpaceDN w:val="0"/>
        <w:adjustRightInd w:val="0"/>
        <w:rPr>
          <w:rFonts w:asciiTheme="minorHAnsi" w:hAnsiTheme="minorHAnsi"/>
          <w:b/>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E17423" w14:paraId="213E3F9F"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6BA5529D" w14:textId="77777777" w:rsidR="00E17423" w:rsidRDefault="00E17423" w:rsidP="002D16D6">
            <w:pPr>
              <w:autoSpaceDE w:val="0"/>
              <w:autoSpaceDN w:val="0"/>
              <w:adjustRightInd w:val="0"/>
              <w:rPr>
                <w:rFonts w:asciiTheme="minorHAnsi" w:hAnsiTheme="minorHAnsi"/>
                <w:b w:val="0"/>
                <w:bCs w:val="0"/>
                <w:color w:val="000000"/>
                <w:sz w:val="22"/>
                <w:szCs w:val="22"/>
              </w:rPr>
            </w:pPr>
          </w:p>
        </w:tc>
        <w:tc>
          <w:tcPr>
            <w:tcW w:w="1784" w:type="dxa"/>
          </w:tcPr>
          <w:p w14:paraId="405F409B" w14:textId="77777777" w:rsidR="00E17423" w:rsidRDefault="00E17423" w:rsidP="002D16D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C01139" w14:paraId="7F1A173D" w14:textId="77777777" w:rsidTr="00D72CF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68" w:type="dxa"/>
          </w:tcPr>
          <w:p w14:paraId="58064713" w14:textId="2C1561B9" w:rsidR="00C01139" w:rsidRPr="00D72CF0" w:rsidRDefault="00C01139" w:rsidP="00DA129E">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Proposals (funded) – </w:t>
            </w:r>
            <w:r w:rsidR="00DA129E" w:rsidRPr="00D72CF0">
              <w:rPr>
                <w:rFonts w:asciiTheme="minorHAnsi" w:hAnsiTheme="minorHAnsi"/>
                <w:b w:val="0"/>
                <w:color w:val="000000"/>
                <w:sz w:val="22"/>
                <w:szCs w:val="22"/>
              </w:rPr>
              <w:t xml:space="preserve"> state/local funding</w:t>
            </w:r>
          </w:p>
        </w:tc>
        <w:tc>
          <w:tcPr>
            <w:tcW w:w="1784" w:type="dxa"/>
          </w:tcPr>
          <w:p w14:paraId="03E18E3B" w14:textId="53E1AFC1" w:rsidR="00C01139" w:rsidRPr="00CD5000" w:rsidRDefault="00DA129E" w:rsidP="00AF7F4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C01139">
              <w:rPr>
                <w:rFonts w:asciiTheme="minorHAnsi" w:hAnsiTheme="minorHAnsi"/>
                <w:bCs/>
                <w:color w:val="000000"/>
                <w:sz w:val="22"/>
                <w:szCs w:val="22"/>
              </w:rPr>
              <w:t>7</w:t>
            </w:r>
          </w:p>
        </w:tc>
      </w:tr>
      <w:tr w:rsidR="00E17423" w14:paraId="49C6B8DC" w14:textId="77777777" w:rsidTr="00D72CF0">
        <w:trPr>
          <w:trHeight w:val="333"/>
        </w:trPr>
        <w:tc>
          <w:tcPr>
            <w:cnfStyle w:val="001000000000" w:firstRow="0" w:lastRow="0" w:firstColumn="1" w:lastColumn="0" w:oddVBand="0" w:evenVBand="0" w:oddHBand="0" w:evenHBand="0" w:firstRowFirstColumn="0" w:firstRowLastColumn="0" w:lastRowFirstColumn="0" w:lastRowLastColumn="0"/>
            <w:tcW w:w="6368" w:type="dxa"/>
          </w:tcPr>
          <w:p w14:paraId="6C1B6AE9" w14:textId="7B81F999" w:rsidR="00E17423" w:rsidRPr="00D72CF0" w:rsidRDefault="00E17423" w:rsidP="00DA129E">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Proposals (funded) – </w:t>
            </w:r>
            <w:r w:rsidR="00DA129E" w:rsidRPr="00D72CF0">
              <w:rPr>
                <w:rFonts w:asciiTheme="minorHAnsi" w:hAnsiTheme="minorHAnsi"/>
                <w:b w:val="0"/>
                <w:color w:val="000000"/>
                <w:sz w:val="22"/>
                <w:szCs w:val="22"/>
              </w:rPr>
              <w:t xml:space="preserve"> private funding</w:t>
            </w:r>
            <w:r w:rsidRPr="00D72CF0">
              <w:rPr>
                <w:rFonts w:asciiTheme="minorHAnsi" w:hAnsiTheme="minorHAnsi"/>
                <w:b w:val="0"/>
                <w:color w:val="000000"/>
                <w:sz w:val="22"/>
                <w:szCs w:val="22"/>
              </w:rPr>
              <w:t xml:space="preserve">   </w:t>
            </w:r>
          </w:p>
        </w:tc>
        <w:tc>
          <w:tcPr>
            <w:tcW w:w="1784" w:type="dxa"/>
          </w:tcPr>
          <w:p w14:paraId="72E156AA" w14:textId="2F9CF226" w:rsidR="00E17423" w:rsidRPr="00CD5000" w:rsidRDefault="00DA129E" w:rsidP="002D16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T+7</w:t>
            </w:r>
          </w:p>
        </w:tc>
      </w:tr>
      <w:tr w:rsidR="00E17423" w14:paraId="7DE02407" w14:textId="77777777" w:rsidTr="00D72C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68" w:type="dxa"/>
          </w:tcPr>
          <w:p w14:paraId="2C2AE12A" w14:textId="4A941976" w:rsidR="00E17423" w:rsidRPr="00D72CF0" w:rsidRDefault="00E17423" w:rsidP="00DA129E">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Proposals (funded) – </w:t>
            </w:r>
            <w:r w:rsidR="00DA129E" w:rsidRPr="00D72CF0">
              <w:rPr>
                <w:rFonts w:asciiTheme="minorHAnsi" w:hAnsiTheme="minorHAnsi"/>
                <w:b w:val="0"/>
                <w:color w:val="000000"/>
                <w:sz w:val="22"/>
                <w:szCs w:val="22"/>
              </w:rPr>
              <w:t xml:space="preserve"> federal </w:t>
            </w:r>
            <w:r w:rsidRPr="00D72CF0">
              <w:rPr>
                <w:rFonts w:asciiTheme="minorHAnsi" w:hAnsiTheme="minorHAnsi"/>
                <w:b w:val="0"/>
                <w:color w:val="000000"/>
                <w:sz w:val="22"/>
                <w:szCs w:val="22"/>
              </w:rPr>
              <w:t xml:space="preserve">funding </w:t>
            </w:r>
          </w:p>
        </w:tc>
        <w:tc>
          <w:tcPr>
            <w:tcW w:w="1784" w:type="dxa"/>
          </w:tcPr>
          <w:p w14:paraId="040CE5FF" w14:textId="45CD983C" w:rsidR="00E17423" w:rsidRPr="00CD5000" w:rsidRDefault="00DA129E" w:rsidP="002D16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T+4</w:t>
            </w:r>
            <w:r>
              <w:rPr>
                <w:rStyle w:val="FootnoteReference"/>
                <w:rFonts w:asciiTheme="minorHAnsi" w:hAnsiTheme="minorHAnsi"/>
                <w:bCs/>
                <w:color w:val="000000"/>
                <w:sz w:val="22"/>
                <w:szCs w:val="22"/>
              </w:rPr>
              <w:footnoteReference w:id="32"/>
            </w:r>
          </w:p>
        </w:tc>
      </w:tr>
      <w:tr w:rsidR="00E17423" w14:paraId="7C1467D3" w14:textId="77777777" w:rsidTr="00D72CF0">
        <w:trPr>
          <w:trHeight w:val="324"/>
        </w:trPr>
        <w:tc>
          <w:tcPr>
            <w:cnfStyle w:val="001000000000" w:firstRow="0" w:lastRow="0" w:firstColumn="1" w:lastColumn="0" w:oddVBand="0" w:evenVBand="0" w:oddHBand="0" w:evenHBand="0" w:firstRowFirstColumn="0" w:firstRowLastColumn="0" w:lastRowFirstColumn="0" w:lastRowLastColumn="0"/>
            <w:tcW w:w="6368" w:type="dxa"/>
          </w:tcPr>
          <w:p w14:paraId="3C5DA32D" w14:textId="77777777" w:rsidR="00E17423" w:rsidRPr="00D72CF0" w:rsidRDefault="00E17423"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Records of fundraising appeals and events</w:t>
            </w:r>
          </w:p>
        </w:tc>
        <w:tc>
          <w:tcPr>
            <w:tcW w:w="1784" w:type="dxa"/>
          </w:tcPr>
          <w:p w14:paraId="6F49C4EB" w14:textId="33025713" w:rsidR="00E17423" w:rsidRDefault="00DA129E" w:rsidP="002D16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E17423">
              <w:rPr>
                <w:rFonts w:asciiTheme="minorHAnsi" w:hAnsiTheme="minorHAnsi"/>
                <w:bCs/>
                <w:color w:val="000000"/>
                <w:sz w:val="22"/>
                <w:szCs w:val="22"/>
              </w:rPr>
              <w:t>4</w:t>
            </w:r>
          </w:p>
        </w:tc>
      </w:tr>
      <w:tr w:rsidR="00E17423" w14:paraId="0E28CD19" w14:textId="77777777" w:rsidTr="00D72CF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8" w:type="dxa"/>
          </w:tcPr>
          <w:p w14:paraId="35DFFE9E" w14:textId="77777777" w:rsidR="00E17423" w:rsidRPr="00D72CF0" w:rsidRDefault="00E17423" w:rsidP="00C01139">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Correspondence</w:t>
            </w:r>
          </w:p>
        </w:tc>
        <w:tc>
          <w:tcPr>
            <w:tcW w:w="1784" w:type="dxa"/>
          </w:tcPr>
          <w:p w14:paraId="6D37BBB4" w14:textId="7BD34160" w:rsidR="00E17423" w:rsidRDefault="00E17423" w:rsidP="002D16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3</w:t>
            </w:r>
            <w:r w:rsidR="00DA129E">
              <w:rPr>
                <w:rFonts w:asciiTheme="minorHAnsi" w:hAnsiTheme="minorHAnsi"/>
                <w:bCs/>
                <w:color w:val="000000"/>
                <w:sz w:val="22"/>
                <w:szCs w:val="22"/>
              </w:rPr>
              <w:t xml:space="preserve"> after sent</w:t>
            </w:r>
          </w:p>
        </w:tc>
      </w:tr>
      <w:tr w:rsidR="00C01139" w14:paraId="3E717A15" w14:textId="77777777" w:rsidTr="00D72CF0">
        <w:trPr>
          <w:trHeight w:val="342"/>
        </w:trPr>
        <w:tc>
          <w:tcPr>
            <w:cnfStyle w:val="001000000000" w:firstRow="0" w:lastRow="0" w:firstColumn="1" w:lastColumn="0" w:oddVBand="0" w:evenVBand="0" w:oddHBand="0" w:evenHBand="0" w:firstRowFirstColumn="0" w:firstRowLastColumn="0" w:lastRowFirstColumn="0" w:lastRowLastColumn="0"/>
            <w:tcW w:w="6368" w:type="dxa"/>
          </w:tcPr>
          <w:p w14:paraId="269D9ED8" w14:textId="77777777" w:rsidR="00C01139" w:rsidRPr="00D72CF0" w:rsidRDefault="00C01139" w:rsidP="00AF7F42">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Proposals (unfunded)</w:t>
            </w:r>
          </w:p>
        </w:tc>
        <w:tc>
          <w:tcPr>
            <w:tcW w:w="1784" w:type="dxa"/>
          </w:tcPr>
          <w:p w14:paraId="07E384FC" w14:textId="3DE1796B" w:rsidR="00C01139" w:rsidRPr="00CD5000" w:rsidRDefault="00C01139" w:rsidP="00DA12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1</w:t>
            </w:r>
            <w:r w:rsidR="00DA129E">
              <w:rPr>
                <w:rFonts w:asciiTheme="minorHAnsi" w:hAnsiTheme="minorHAnsi"/>
                <w:bCs/>
                <w:color w:val="000000"/>
                <w:sz w:val="22"/>
                <w:szCs w:val="22"/>
              </w:rPr>
              <w:t xml:space="preserve"> after denial</w:t>
            </w:r>
          </w:p>
        </w:tc>
      </w:tr>
    </w:tbl>
    <w:p w14:paraId="4E50F05A" w14:textId="77777777" w:rsidR="00E17423" w:rsidRDefault="00E17423" w:rsidP="00E17423">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ab/>
      </w:r>
    </w:p>
    <w:p w14:paraId="65C9965E" w14:textId="77777777" w:rsidR="00766E57" w:rsidRDefault="00766E57" w:rsidP="00E17423">
      <w:pPr>
        <w:autoSpaceDE w:val="0"/>
        <w:autoSpaceDN w:val="0"/>
        <w:adjustRightInd w:val="0"/>
        <w:rPr>
          <w:rFonts w:asciiTheme="minorHAnsi" w:hAnsiTheme="minorHAnsi"/>
          <w:bCs/>
          <w:color w:val="000000"/>
          <w:sz w:val="22"/>
          <w:szCs w:val="22"/>
        </w:rPr>
      </w:pPr>
    </w:p>
    <w:p w14:paraId="12219659" w14:textId="77777777" w:rsidR="001A180A" w:rsidRPr="0023527D" w:rsidRDefault="001A180A" w:rsidP="001A180A">
      <w:pPr>
        <w:autoSpaceDE w:val="0"/>
        <w:autoSpaceDN w:val="0"/>
        <w:adjustRightInd w:val="0"/>
        <w:rPr>
          <w:rFonts w:asciiTheme="minorHAnsi" w:hAnsiTheme="minorHAnsi"/>
          <w:bCs/>
          <w:color w:val="000000"/>
          <w:sz w:val="22"/>
          <w:szCs w:val="22"/>
        </w:rPr>
      </w:pPr>
      <w:r w:rsidRPr="0023527D">
        <w:rPr>
          <w:rFonts w:asciiTheme="minorHAnsi" w:hAnsiTheme="minorHAnsi"/>
          <w:bCs/>
          <w:color w:val="000000"/>
          <w:sz w:val="22"/>
          <w:szCs w:val="22"/>
          <w:u w:val="single"/>
        </w:rPr>
        <w:t>Executive Office</w:t>
      </w:r>
      <w:r w:rsidR="00E03CA5" w:rsidRPr="0023527D">
        <w:rPr>
          <w:rFonts w:asciiTheme="minorHAnsi" w:hAnsiTheme="minorHAnsi"/>
          <w:bCs/>
          <w:color w:val="000000"/>
          <w:sz w:val="22"/>
          <w:szCs w:val="22"/>
          <w:u w:val="single"/>
        </w:rPr>
        <w:t xml:space="preserve"> </w:t>
      </w:r>
      <w:r w:rsidRPr="0023527D">
        <w:rPr>
          <w:rFonts w:asciiTheme="minorHAnsi" w:hAnsiTheme="minorHAnsi"/>
          <w:bCs/>
          <w:color w:val="000000"/>
          <w:sz w:val="22"/>
          <w:szCs w:val="22"/>
          <w:u w:val="single"/>
        </w:rPr>
        <w:t>Records</w:t>
      </w:r>
    </w:p>
    <w:p w14:paraId="2D918C28" w14:textId="3F8CEA62" w:rsidR="00C13F3B" w:rsidRPr="00DE000D" w:rsidRDefault="00C13F3B" w:rsidP="001A180A">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Executive Office</w:t>
      </w:r>
      <w:r w:rsidR="007E05B4">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7E05B4">
        <w:rPr>
          <w:rFonts w:asciiTheme="minorHAnsi" w:hAnsiTheme="minorHAnsi"/>
          <w:bCs/>
          <w:color w:val="000000"/>
          <w:sz w:val="22"/>
          <w:szCs w:val="22"/>
        </w:rPr>
        <w:t xml:space="preserve"> retention period shall begin after the following are sent</w:t>
      </w:r>
      <w:r w:rsidR="00DA129E">
        <w:rPr>
          <w:rFonts w:asciiTheme="minorHAnsi" w:hAnsiTheme="minorHAnsi"/>
          <w:bCs/>
          <w:color w:val="000000"/>
          <w:sz w:val="22"/>
          <w:szCs w:val="22"/>
        </w:rPr>
        <w:t xml:space="preserve"> (S), unless noted otherwise</w:t>
      </w:r>
      <w:r w:rsidRPr="00DE000D">
        <w:rPr>
          <w:rFonts w:asciiTheme="minorHAnsi" w:hAnsiTheme="minorHAnsi"/>
          <w:bCs/>
          <w:color w:val="000000"/>
          <w:sz w:val="22"/>
          <w:szCs w:val="22"/>
        </w:rPr>
        <w:t>:</w:t>
      </w:r>
      <w:r w:rsidR="007E05B4" w:rsidRPr="009D6647">
        <w:rPr>
          <w:rFonts w:asciiTheme="minorHAnsi" w:hAnsiTheme="minorHAnsi"/>
          <w:bCs/>
          <w:color w:val="000000"/>
          <w:sz w:val="22"/>
          <w:szCs w:val="22"/>
          <w:vertAlign w:val="superscript"/>
        </w:rPr>
        <w:footnoteReference w:id="33"/>
      </w:r>
    </w:p>
    <w:p w14:paraId="43BA9A5F" w14:textId="77777777" w:rsidR="00C13F3B" w:rsidRDefault="00C13F3B" w:rsidP="001A180A">
      <w:pPr>
        <w:autoSpaceDE w:val="0"/>
        <w:autoSpaceDN w:val="0"/>
        <w:adjustRightInd w:val="0"/>
        <w:rPr>
          <w:rFonts w:asciiTheme="minorHAnsi" w:hAnsiTheme="minorHAnsi"/>
          <w:b/>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CC56AD" w14:paraId="2B994319" w14:textId="77777777" w:rsidTr="00D72C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68C0FF0F" w14:textId="77777777" w:rsidR="00CC56AD" w:rsidRDefault="00CC56AD" w:rsidP="002D16D6">
            <w:pPr>
              <w:autoSpaceDE w:val="0"/>
              <w:autoSpaceDN w:val="0"/>
              <w:adjustRightInd w:val="0"/>
              <w:rPr>
                <w:rFonts w:asciiTheme="minorHAnsi" w:hAnsiTheme="minorHAnsi"/>
                <w:b w:val="0"/>
                <w:bCs w:val="0"/>
                <w:color w:val="000000"/>
                <w:sz w:val="22"/>
                <w:szCs w:val="22"/>
              </w:rPr>
            </w:pPr>
          </w:p>
        </w:tc>
        <w:tc>
          <w:tcPr>
            <w:tcW w:w="1784" w:type="dxa"/>
          </w:tcPr>
          <w:p w14:paraId="4F05C667" w14:textId="77777777" w:rsidR="00CC56AD" w:rsidRDefault="00CC56AD" w:rsidP="002D16D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CC56AD" w14:paraId="0FD65FEE" w14:textId="77777777" w:rsidTr="00D72CF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368" w:type="dxa"/>
          </w:tcPr>
          <w:p w14:paraId="31AFDC37" w14:textId="77777777" w:rsidR="00CC56AD" w:rsidRPr="00D72CF0" w:rsidRDefault="00CC56AD" w:rsidP="002D16D6">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Correspondence – of historical importance (non-email)</w:t>
            </w:r>
          </w:p>
        </w:tc>
        <w:tc>
          <w:tcPr>
            <w:tcW w:w="1784" w:type="dxa"/>
          </w:tcPr>
          <w:p w14:paraId="42A0046B" w14:textId="77777777" w:rsidR="00CC56AD" w:rsidRPr="00CD5000" w:rsidRDefault="00CC56AD" w:rsidP="002D16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P</w:t>
            </w:r>
          </w:p>
        </w:tc>
      </w:tr>
      <w:tr w:rsidR="00CC56AD" w14:paraId="2EC7A619" w14:textId="77777777" w:rsidTr="00D72CF0">
        <w:trPr>
          <w:trHeight w:val="351"/>
        </w:trPr>
        <w:tc>
          <w:tcPr>
            <w:cnfStyle w:val="001000000000" w:firstRow="0" w:lastRow="0" w:firstColumn="1" w:lastColumn="0" w:oddVBand="0" w:evenVBand="0" w:oddHBand="0" w:evenHBand="0" w:firstRowFirstColumn="0" w:firstRowLastColumn="0" w:lastRowFirstColumn="0" w:lastRowLastColumn="0"/>
            <w:tcW w:w="6368" w:type="dxa"/>
          </w:tcPr>
          <w:p w14:paraId="2E2AE5E2" w14:textId="77777777" w:rsidR="00CC56AD" w:rsidRPr="00D72CF0" w:rsidRDefault="00CC56AD" w:rsidP="002D16D6">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Correspondence – general (not kept by other departments)</w:t>
            </w:r>
            <w:r w:rsidRPr="00D72CF0">
              <w:rPr>
                <w:rFonts w:asciiTheme="minorHAnsi" w:hAnsiTheme="minorHAnsi"/>
                <w:b w:val="0"/>
                <w:color w:val="000000"/>
                <w:sz w:val="22"/>
                <w:szCs w:val="22"/>
              </w:rPr>
              <w:tab/>
            </w:r>
          </w:p>
        </w:tc>
        <w:tc>
          <w:tcPr>
            <w:tcW w:w="1784" w:type="dxa"/>
          </w:tcPr>
          <w:p w14:paraId="3EC1E053" w14:textId="19EAE258" w:rsidR="00CC56AD" w:rsidRPr="00CD5000" w:rsidRDefault="00DA129E" w:rsidP="002D16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S+</w:t>
            </w:r>
            <w:r w:rsidR="00CC56AD">
              <w:rPr>
                <w:rFonts w:asciiTheme="minorHAnsi" w:hAnsiTheme="minorHAnsi"/>
                <w:bCs/>
                <w:color w:val="000000"/>
                <w:sz w:val="22"/>
                <w:szCs w:val="22"/>
              </w:rPr>
              <w:t>3</w:t>
            </w:r>
          </w:p>
        </w:tc>
      </w:tr>
    </w:tbl>
    <w:p w14:paraId="38E6AF6C" w14:textId="77777777" w:rsidR="00D72CF0" w:rsidRDefault="00D72CF0" w:rsidP="001A180A">
      <w:pPr>
        <w:autoSpaceDE w:val="0"/>
        <w:autoSpaceDN w:val="0"/>
        <w:adjustRightInd w:val="0"/>
        <w:rPr>
          <w:rFonts w:asciiTheme="minorHAnsi" w:hAnsiTheme="minorHAnsi"/>
          <w:bCs/>
          <w:color w:val="000000"/>
          <w:sz w:val="22"/>
          <w:szCs w:val="22"/>
          <w:u w:val="single"/>
        </w:rPr>
      </w:pPr>
    </w:p>
    <w:p w14:paraId="20E94605" w14:textId="77777777" w:rsidR="001A180A" w:rsidRPr="00DE000D" w:rsidRDefault="00E17423" w:rsidP="001A180A">
      <w:pPr>
        <w:autoSpaceDE w:val="0"/>
        <w:autoSpaceDN w:val="0"/>
        <w:adjustRightInd w:val="0"/>
        <w:rPr>
          <w:rFonts w:asciiTheme="minorHAnsi" w:hAnsiTheme="minorHAnsi"/>
          <w:b/>
          <w:bCs/>
          <w:color w:val="000000"/>
          <w:sz w:val="22"/>
          <w:szCs w:val="22"/>
        </w:rPr>
      </w:pPr>
      <w:r w:rsidRPr="0023527D">
        <w:rPr>
          <w:rFonts w:asciiTheme="minorHAnsi" w:hAnsiTheme="minorHAnsi"/>
          <w:bCs/>
          <w:color w:val="000000"/>
          <w:sz w:val="22"/>
          <w:szCs w:val="22"/>
          <w:u w:val="single"/>
        </w:rPr>
        <w:t>Information Technology/</w:t>
      </w:r>
      <w:r w:rsidR="001A180A" w:rsidRPr="0023527D">
        <w:rPr>
          <w:rFonts w:asciiTheme="minorHAnsi" w:hAnsiTheme="minorHAnsi"/>
          <w:bCs/>
          <w:color w:val="000000"/>
          <w:sz w:val="22"/>
          <w:szCs w:val="22"/>
          <w:u w:val="single"/>
        </w:rPr>
        <w:t>Office S</w:t>
      </w:r>
      <w:r w:rsidR="00C13F3B" w:rsidRPr="0023527D">
        <w:rPr>
          <w:rFonts w:asciiTheme="minorHAnsi" w:hAnsiTheme="minorHAnsi"/>
          <w:bCs/>
          <w:color w:val="000000"/>
          <w:sz w:val="22"/>
          <w:szCs w:val="22"/>
          <w:u w:val="single"/>
        </w:rPr>
        <w:t>ervices/Administration Records</w:t>
      </w:r>
    </w:p>
    <w:p w14:paraId="302FFA05" w14:textId="0B7906A7" w:rsidR="00C13F3B" w:rsidRPr="00DE000D" w:rsidRDefault="00C13F3B" w:rsidP="00C13F3B">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 xml:space="preserve">The following </w:t>
      </w:r>
      <w:r w:rsidR="00BA216A">
        <w:rPr>
          <w:rFonts w:asciiTheme="minorHAnsi" w:hAnsiTheme="minorHAnsi"/>
          <w:bCs/>
          <w:color w:val="000000"/>
          <w:sz w:val="22"/>
          <w:szCs w:val="22"/>
        </w:rPr>
        <w:t>Records</w:t>
      </w:r>
      <w:r w:rsidRPr="00DE000D">
        <w:rPr>
          <w:rFonts w:asciiTheme="minorHAnsi" w:hAnsiTheme="minorHAnsi"/>
          <w:bCs/>
          <w:color w:val="000000"/>
          <w:sz w:val="22"/>
          <w:szCs w:val="22"/>
        </w:rPr>
        <w:t xml:space="preserve"> shall be retained in the Operations </w:t>
      </w:r>
      <w:r w:rsidR="008E49CC">
        <w:rPr>
          <w:rFonts w:asciiTheme="minorHAnsi" w:hAnsiTheme="minorHAnsi"/>
          <w:bCs/>
          <w:color w:val="000000"/>
          <w:sz w:val="22"/>
          <w:szCs w:val="22"/>
        </w:rPr>
        <w:t>d</w:t>
      </w:r>
      <w:r w:rsidRPr="00DE000D">
        <w:rPr>
          <w:rFonts w:asciiTheme="minorHAnsi" w:hAnsiTheme="minorHAnsi"/>
          <w:bCs/>
          <w:color w:val="000000"/>
          <w:sz w:val="22"/>
          <w:szCs w:val="22"/>
        </w:rPr>
        <w:t>epartment</w:t>
      </w:r>
      <w:r w:rsidR="007E05B4">
        <w:rPr>
          <w:rFonts w:asciiTheme="minorHAnsi" w:hAnsiTheme="minorHAnsi"/>
          <w:bCs/>
          <w:color w:val="000000"/>
          <w:sz w:val="22"/>
          <w:szCs w:val="22"/>
        </w:rPr>
        <w:t xml:space="preserve">. The </w:t>
      </w:r>
      <w:r w:rsidR="00BA216A">
        <w:rPr>
          <w:rFonts w:asciiTheme="minorHAnsi" w:hAnsiTheme="minorHAnsi"/>
          <w:bCs/>
          <w:color w:val="000000"/>
          <w:sz w:val="22"/>
          <w:szCs w:val="22"/>
        </w:rPr>
        <w:t>Record</w:t>
      </w:r>
      <w:r w:rsidR="007E05B4">
        <w:rPr>
          <w:rFonts w:asciiTheme="minorHAnsi" w:hAnsiTheme="minorHAnsi"/>
          <w:bCs/>
          <w:color w:val="000000"/>
          <w:sz w:val="22"/>
          <w:szCs w:val="22"/>
        </w:rPr>
        <w:t xml:space="preserve"> retention period </w:t>
      </w:r>
      <w:r w:rsidR="00306AAA">
        <w:rPr>
          <w:rFonts w:asciiTheme="minorHAnsi" w:hAnsiTheme="minorHAnsi"/>
          <w:bCs/>
          <w:color w:val="000000"/>
          <w:sz w:val="22"/>
          <w:szCs w:val="22"/>
        </w:rPr>
        <w:t xml:space="preserve">for the following </w:t>
      </w:r>
      <w:r w:rsidR="007E05B4">
        <w:rPr>
          <w:rFonts w:asciiTheme="minorHAnsi" w:hAnsiTheme="minorHAnsi"/>
          <w:bCs/>
          <w:color w:val="000000"/>
          <w:sz w:val="22"/>
          <w:szCs w:val="22"/>
        </w:rPr>
        <w:t xml:space="preserve">shall begin </w:t>
      </w:r>
      <w:r w:rsidR="00306AAA">
        <w:rPr>
          <w:rFonts w:asciiTheme="minorHAnsi" w:hAnsiTheme="minorHAnsi"/>
          <w:bCs/>
          <w:color w:val="000000"/>
          <w:sz w:val="22"/>
          <w:szCs w:val="22"/>
        </w:rPr>
        <w:t xml:space="preserve">after </w:t>
      </w:r>
      <w:r w:rsidR="00DA129E">
        <w:rPr>
          <w:rFonts w:asciiTheme="minorHAnsi" w:hAnsiTheme="minorHAnsi"/>
          <w:bCs/>
          <w:color w:val="000000"/>
          <w:sz w:val="22"/>
          <w:szCs w:val="22"/>
        </w:rPr>
        <w:t>the termination date/expiration (T)</w:t>
      </w:r>
      <w:r w:rsidR="00306AAA">
        <w:rPr>
          <w:rFonts w:asciiTheme="minorHAnsi" w:hAnsiTheme="minorHAnsi"/>
          <w:bCs/>
          <w:color w:val="000000"/>
          <w:sz w:val="22"/>
          <w:szCs w:val="22"/>
        </w:rPr>
        <w:t>, unless noted otherwise</w:t>
      </w:r>
      <w:r w:rsidRPr="00DE000D">
        <w:rPr>
          <w:rFonts w:asciiTheme="minorHAnsi" w:hAnsiTheme="minorHAnsi"/>
          <w:bCs/>
          <w:color w:val="000000"/>
          <w:sz w:val="22"/>
          <w:szCs w:val="22"/>
        </w:rPr>
        <w:t>:</w:t>
      </w:r>
      <w:r w:rsidR="007E05B4" w:rsidRPr="009D6647">
        <w:rPr>
          <w:rFonts w:asciiTheme="minorHAnsi" w:hAnsiTheme="minorHAnsi"/>
          <w:bCs/>
          <w:color w:val="000000"/>
          <w:sz w:val="22"/>
          <w:szCs w:val="22"/>
          <w:vertAlign w:val="superscript"/>
        </w:rPr>
        <w:footnoteReference w:id="34"/>
      </w:r>
    </w:p>
    <w:p w14:paraId="3B97613E" w14:textId="77777777" w:rsidR="00C13F3B" w:rsidRPr="00DE000D" w:rsidRDefault="00C13F3B" w:rsidP="001A180A">
      <w:pPr>
        <w:autoSpaceDE w:val="0"/>
        <w:autoSpaceDN w:val="0"/>
        <w:adjustRightInd w:val="0"/>
        <w:rPr>
          <w:rFonts w:asciiTheme="minorHAnsi" w:hAnsiTheme="minorHAnsi"/>
          <w:b/>
          <w:bCs/>
          <w:color w:val="000000"/>
          <w:sz w:val="22"/>
          <w:szCs w:val="22"/>
        </w:rPr>
      </w:pPr>
    </w:p>
    <w:tbl>
      <w:tblPr>
        <w:tblStyle w:val="MediumList1-Accent3"/>
        <w:tblW w:w="0" w:type="auto"/>
        <w:tblLook w:val="04A0" w:firstRow="1" w:lastRow="0" w:firstColumn="1" w:lastColumn="0" w:noHBand="0" w:noVBand="1"/>
      </w:tblPr>
      <w:tblGrid>
        <w:gridCol w:w="6368"/>
        <w:gridCol w:w="1784"/>
      </w:tblGrid>
      <w:tr w:rsidR="00E17423" w14:paraId="1D4609B3" w14:textId="77777777" w:rsidTr="00297D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8" w:type="dxa"/>
          </w:tcPr>
          <w:p w14:paraId="397A4FAE" w14:textId="77777777" w:rsidR="00E17423" w:rsidRDefault="00E17423" w:rsidP="002D16D6">
            <w:pPr>
              <w:autoSpaceDE w:val="0"/>
              <w:autoSpaceDN w:val="0"/>
              <w:adjustRightInd w:val="0"/>
              <w:rPr>
                <w:rFonts w:asciiTheme="minorHAnsi" w:hAnsiTheme="minorHAnsi"/>
                <w:b w:val="0"/>
                <w:bCs w:val="0"/>
                <w:color w:val="000000"/>
                <w:sz w:val="22"/>
                <w:szCs w:val="22"/>
              </w:rPr>
            </w:pPr>
          </w:p>
        </w:tc>
        <w:tc>
          <w:tcPr>
            <w:tcW w:w="1784" w:type="dxa"/>
          </w:tcPr>
          <w:p w14:paraId="244F9CFB" w14:textId="77777777" w:rsidR="00E17423" w:rsidRDefault="00E17423" w:rsidP="002D16D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Pr>
                <w:rFonts w:asciiTheme="minorHAnsi" w:hAnsiTheme="minorHAnsi"/>
                <w:b/>
                <w:bCs/>
                <w:color w:val="000000"/>
                <w:sz w:val="22"/>
                <w:szCs w:val="22"/>
              </w:rPr>
              <w:t>Retention Period</w:t>
            </w:r>
          </w:p>
        </w:tc>
      </w:tr>
      <w:tr w:rsidR="00E17423" w14:paraId="7F18B62E" w14:textId="77777777" w:rsidTr="00D72CF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368" w:type="dxa"/>
          </w:tcPr>
          <w:p w14:paraId="22EEDA91" w14:textId="68B0EFC6" w:rsidR="00E17423" w:rsidRPr="00D72CF0" w:rsidRDefault="00E17423" w:rsidP="002D16D6">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Equipment location and maintenance </w:t>
            </w:r>
            <w:r w:rsidR="00BA216A" w:rsidRPr="00D72CF0">
              <w:rPr>
                <w:rFonts w:asciiTheme="minorHAnsi" w:hAnsiTheme="minorHAnsi"/>
                <w:b w:val="0"/>
                <w:color w:val="000000"/>
                <w:sz w:val="22"/>
                <w:szCs w:val="22"/>
              </w:rPr>
              <w:t>Records</w:t>
            </w:r>
            <w:r w:rsidRPr="00D72CF0">
              <w:rPr>
                <w:rFonts w:asciiTheme="minorHAnsi" w:hAnsiTheme="minorHAnsi"/>
                <w:b w:val="0"/>
                <w:color w:val="000000"/>
                <w:sz w:val="22"/>
                <w:szCs w:val="22"/>
              </w:rPr>
              <w:tab/>
            </w:r>
          </w:p>
        </w:tc>
        <w:tc>
          <w:tcPr>
            <w:tcW w:w="1784" w:type="dxa"/>
          </w:tcPr>
          <w:p w14:paraId="4043AB8A" w14:textId="77777777" w:rsidR="00E17423" w:rsidRPr="00CD5000" w:rsidRDefault="00E17423" w:rsidP="002D16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Length of lease</w:t>
            </w:r>
          </w:p>
        </w:tc>
      </w:tr>
      <w:tr w:rsidR="00E17423" w14:paraId="3216E0A7" w14:textId="77777777" w:rsidTr="00D72CF0">
        <w:trPr>
          <w:trHeight w:val="540"/>
        </w:trPr>
        <w:tc>
          <w:tcPr>
            <w:cnfStyle w:val="001000000000" w:firstRow="0" w:lastRow="0" w:firstColumn="1" w:lastColumn="0" w:oddVBand="0" w:evenVBand="0" w:oddHBand="0" w:evenHBand="0" w:firstRowFirstColumn="0" w:firstRowLastColumn="0" w:lastRowFirstColumn="0" w:lastRowLastColumn="0"/>
            <w:tcW w:w="6368" w:type="dxa"/>
          </w:tcPr>
          <w:p w14:paraId="7211F5DF" w14:textId="77777777" w:rsidR="00E17423" w:rsidRPr="00D72CF0" w:rsidRDefault="00E17423" w:rsidP="00E17423">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 xml:space="preserve">Contracts, leases, and addenda, related proposals </w:t>
            </w:r>
          </w:p>
          <w:p w14:paraId="36127342" w14:textId="77777777" w:rsidR="00E17423" w:rsidRPr="00D72CF0" w:rsidRDefault="00E17423" w:rsidP="00E17423">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and correspondence</w:t>
            </w:r>
          </w:p>
        </w:tc>
        <w:tc>
          <w:tcPr>
            <w:tcW w:w="1784" w:type="dxa"/>
          </w:tcPr>
          <w:p w14:paraId="7CDC7F91" w14:textId="38F00D68" w:rsidR="00E17423" w:rsidRPr="00CD5000" w:rsidRDefault="00DA129E" w:rsidP="00306A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T+</w:t>
            </w:r>
            <w:r w:rsidR="00E17423" w:rsidRPr="00E17423">
              <w:rPr>
                <w:rFonts w:asciiTheme="minorHAnsi" w:hAnsiTheme="minorHAnsi"/>
                <w:bCs/>
                <w:color w:val="000000"/>
                <w:sz w:val="22"/>
                <w:szCs w:val="22"/>
              </w:rPr>
              <w:t xml:space="preserve">7 </w:t>
            </w:r>
          </w:p>
        </w:tc>
      </w:tr>
      <w:tr w:rsidR="00CC56AD" w14:paraId="1471F080" w14:textId="77777777" w:rsidTr="00D7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14:paraId="32B52DA0" w14:textId="77777777" w:rsidR="00CC56AD" w:rsidRPr="00D72CF0" w:rsidRDefault="00CC56AD" w:rsidP="00E17423">
            <w:pPr>
              <w:autoSpaceDE w:val="0"/>
              <w:autoSpaceDN w:val="0"/>
              <w:adjustRightInd w:val="0"/>
              <w:rPr>
                <w:rFonts w:asciiTheme="minorHAnsi" w:hAnsiTheme="minorHAnsi"/>
                <w:b w:val="0"/>
                <w:bCs w:val="0"/>
                <w:color w:val="000000"/>
                <w:sz w:val="22"/>
                <w:szCs w:val="22"/>
              </w:rPr>
            </w:pPr>
            <w:r w:rsidRPr="00D72CF0">
              <w:rPr>
                <w:rFonts w:asciiTheme="minorHAnsi" w:hAnsiTheme="minorHAnsi"/>
                <w:b w:val="0"/>
                <w:color w:val="000000"/>
                <w:sz w:val="22"/>
                <w:szCs w:val="22"/>
              </w:rPr>
              <w:t>Emails</w:t>
            </w:r>
          </w:p>
        </w:tc>
        <w:tc>
          <w:tcPr>
            <w:tcW w:w="1784" w:type="dxa"/>
          </w:tcPr>
          <w:p w14:paraId="6BA42D7C" w14:textId="7E436520" w:rsidR="00CC56AD" w:rsidRPr="00E17423" w:rsidRDefault="002943DE" w:rsidP="00C011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Retain pursuant to this P</w:t>
            </w:r>
            <w:r w:rsidR="00E60EBE">
              <w:rPr>
                <w:rFonts w:asciiTheme="minorHAnsi" w:hAnsiTheme="minorHAnsi"/>
                <w:bCs/>
                <w:color w:val="000000"/>
                <w:sz w:val="22"/>
                <w:szCs w:val="22"/>
              </w:rPr>
              <w:t>olicy based on</w:t>
            </w:r>
            <w:r w:rsidR="00942EA1">
              <w:rPr>
                <w:rFonts w:asciiTheme="minorHAnsi" w:hAnsiTheme="minorHAnsi"/>
                <w:bCs/>
                <w:color w:val="000000"/>
                <w:sz w:val="22"/>
                <w:szCs w:val="22"/>
              </w:rPr>
              <w:t xml:space="preserve"> </w:t>
            </w:r>
            <w:r w:rsidR="00E60EBE">
              <w:rPr>
                <w:rFonts w:asciiTheme="minorHAnsi" w:hAnsiTheme="minorHAnsi"/>
                <w:bCs/>
                <w:color w:val="000000"/>
                <w:sz w:val="22"/>
                <w:szCs w:val="22"/>
              </w:rPr>
              <w:t xml:space="preserve">type of </w:t>
            </w:r>
            <w:r w:rsidR="00BA216A">
              <w:rPr>
                <w:rFonts w:asciiTheme="minorHAnsi" w:hAnsiTheme="minorHAnsi"/>
                <w:bCs/>
                <w:color w:val="000000"/>
                <w:sz w:val="22"/>
                <w:szCs w:val="22"/>
              </w:rPr>
              <w:t>Record</w:t>
            </w:r>
            <w:r w:rsidR="00E60EBE">
              <w:rPr>
                <w:rFonts w:asciiTheme="minorHAnsi" w:hAnsiTheme="minorHAnsi"/>
                <w:bCs/>
                <w:color w:val="000000"/>
                <w:sz w:val="22"/>
                <w:szCs w:val="22"/>
              </w:rPr>
              <w:t>, not that it is an email</w:t>
            </w:r>
          </w:p>
        </w:tc>
      </w:tr>
    </w:tbl>
    <w:p w14:paraId="72241B1D" w14:textId="77777777" w:rsidR="00E17423" w:rsidRDefault="00E17423" w:rsidP="001A180A">
      <w:pPr>
        <w:autoSpaceDE w:val="0"/>
        <w:autoSpaceDN w:val="0"/>
        <w:adjustRightInd w:val="0"/>
        <w:rPr>
          <w:rFonts w:asciiTheme="minorHAnsi" w:hAnsiTheme="minorHAnsi"/>
          <w:bCs/>
          <w:color w:val="000000"/>
          <w:sz w:val="22"/>
          <w:szCs w:val="22"/>
        </w:rPr>
      </w:pPr>
    </w:p>
    <w:p w14:paraId="6E3125B6" w14:textId="77777777" w:rsidR="005A654A" w:rsidRPr="00A05F0C" w:rsidRDefault="001A180A" w:rsidP="00A05F0C">
      <w:pPr>
        <w:autoSpaceDE w:val="0"/>
        <w:autoSpaceDN w:val="0"/>
        <w:adjustRightInd w:val="0"/>
        <w:rPr>
          <w:rFonts w:asciiTheme="minorHAnsi" w:hAnsiTheme="minorHAnsi"/>
          <w:bCs/>
          <w:color w:val="000000"/>
          <w:sz w:val="22"/>
          <w:szCs w:val="22"/>
        </w:rPr>
      </w:pPr>
      <w:r w:rsidRPr="00DE000D">
        <w:rPr>
          <w:rFonts w:asciiTheme="minorHAnsi" w:hAnsiTheme="minorHAnsi"/>
          <w:bCs/>
          <w:color w:val="000000"/>
          <w:sz w:val="22"/>
          <w:szCs w:val="22"/>
        </w:rPr>
        <w:tab/>
      </w:r>
      <w:r w:rsidRPr="00DE000D">
        <w:rPr>
          <w:rFonts w:asciiTheme="minorHAnsi" w:hAnsiTheme="minorHAnsi"/>
          <w:bCs/>
          <w:color w:val="000000"/>
          <w:sz w:val="22"/>
          <w:szCs w:val="22"/>
        </w:rPr>
        <w:tab/>
        <w:t xml:space="preserve">           </w:t>
      </w:r>
      <w:r w:rsidR="00E56932">
        <w:rPr>
          <w:rFonts w:asciiTheme="minorHAnsi" w:hAnsiTheme="minorHAnsi"/>
          <w:bCs/>
          <w:color w:val="000000"/>
          <w:sz w:val="22"/>
          <w:szCs w:val="22"/>
        </w:rPr>
        <w:tab/>
      </w:r>
      <w:r w:rsidR="00E56932">
        <w:rPr>
          <w:rFonts w:asciiTheme="minorHAnsi" w:hAnsiTheme="minorHAnsi"/>
          <w:bCs/>
          <w:color w:val="000000"/>
          <w:sz w:val="22"/>
          <w:szCs w:val="22"/>
        </w:rPr>
        <w:tab/>
      </w:r>
    </w:p>
    <w:sectPr w:rsidR="005A654A" w:rsidRPr="00A05F0C" w:rsidSect="00E17423">
      <w:footerReference w:type="default" r:id="rId17"/>
      <w:headerReference w:type="first" r:id="rId18"/>
      <w:endnotePr>
        <w:numFmt w:val="decimal"/>
      </w:end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D04F" w14:textId="77777777" w:rsidR="009E174E" w:rsidRDefault="009E174E">
      <w:r>
        <w:separator/>
      </w:r>
    </w:p>
  </w:endnote>
  <w:endnote w:type="continuationSeparator" w:id="0">
    <w:p w14:paraId="249D7620" w14:textId="77777777" w:rsidR="009E174E" w:rsidRDefault="009E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C6C2" w14:textId="6006E2B6" w:rsidR="00942EA1" w:rsidRDefault="00942EA1" w:rsidP="00265124">
    <w:pPr>
      <w:pStyle w:val="Footer"/>
      <w:tabs>
        <w:tab w:val="left" w:pos="7920"/>
      </w:tabs>
      <w:jc w:val="left"/>
    </w:pPr>
    <w:r w:rsidRPr="00265124">
      <w:rPr>
        <w:rFonts w:ascii="Calibri" w:hAnsi="Calibri"/>
        <w:i/>
        <w:sz w:val="20"/>
        <w:szCs w:val="20"/>
      </w:rPr>
      <w:t xml:space="preserve">As approved by </w:t>
    </w:r>
    <w:r w:rsidR="00574753">
      <w:rPr>
        <w:rFonts w:ascii="Calibri" w:hAnsi="Calibri"/>
        <w:i/>
        <w:sz w:val="20"/>
        <w:szCs w:val="20"/>
      </w:rPr>
      <w:t>[</w:t>
    </w:r>
    <w:r w:rsidRPr="00574753">
      <w:rPr>
        <w:rFonts w:ascii="Calibri" w:hAnsi="Calibri"/>
        <w:i/>
        <w:sz w:val="20"/>
        <w:szCs w:val="20"/>
        <w:highlight w:val="yellow"/>
      </w:rPr>
      <w:t>CAA</w:t>
    </w:r>
    <w:r w:rsidR="00574753">
      <w:rPr>
        <w:rFonts w:ascii="Calibri" w:hAnsi="Calibri"/>
        <w:i/>
        <w:sz w:val="20"/>
        <w:szCs w:val="20"/>
      </w:rPr>
      <w:t xml:space="preserve">] </w:t>
    </w:r>
    <w:r w:rsidRPr="00265124">
      <w:rPr>
        <w:rFonts w:ascii="Calibri" w:hAnsi="Calibri"/>
        <w:i/>
        <w:sz w:val="20"/>
        <w:szCs w:val="20"/>
      </w:rPr>
      <w:t xml:space="preserve">Board of Directors on </w:t>
    </w:r>
    <w:r w:rsidR="00574753">
      <w:rPr>
        <w:rFonts w:ascii="Calibri" w:hAnsi="Calibri"/>
        <w:i/>
        <w:sz w:val="20"/>
        <w:szCs w:val="20"/>
      </w:rPr>
      <w:t>[</w:t>
    </w:r>
    <w:r w:rsidR="00574753" w:rsidRPr="00574753">
      <w:rPr>
        <w:rFonts w:ascii="Calibri" w:hAnsi="Calibri"/>
        <w:i/>
        <w:sz w:val="20"/>
        <w:szCs w:val="20"/>
        <w:highlight w:val="yellow"/>
      </w:rPr>
      <w:t>Insert Date</w:t>
    </w:r>
    <w:r w:rsidR="00574753">
      <w:rPr>
        <w:rFonts w:ascii="Calibri" w:hAnsi="Calibri"/>
        <w:i/>
        <w:sz w:val="20"/>
        <w:szCs w:val="20"/>
      </w:rPr>
      <w:t>]</w:t>
    </w:r>
    <w:r>
      <w:rPr>
        <w:rFonts w:ascii="Calibri" w:hAnsi="Calibri"/>
        <w:i/>
        <w:sz w:val="20"/>
        <w:szCs w:val="20"/>
      </w:rPr>
      <w:tab/>
    </w:r>
    <w:r w:rsidRPr="00265124">
      <w:rPr>
        <w:rFonts w:ascii="Calibri" w:hAnsi="Calibri"/>
        <w:sz w:val="20"/>
        <w:szCs w:val="20"/>
      </w:rPr>
      <w:fldChar w:fldCharType="begin"/>
    </w:r>
    <w:r w:rsidRPr="00265124">
      <w:rPr>
        <w:rFonts w:ascii="Calibri" w:hAnsi="Calibri"/>
        <w:sz w:val="20"/>
        <w:szCs w:val="20"/>
      </w:rPr>
      <w:instrText xml:space="preserve"> PAGE   \* MERGEFORMAT </w:instrText>
    </w:r>
    <w:r w:rsidRPr="00265124">
      <w:rPr>
        <w:rFonts w:ascii="Calibri" w:hAnsi="Calibri"/>
        <w:sz w:val="20"/>
        <w:szCs w:val="20"/>
      </w:rPr>
      <w:fldChar w:fldCharType="separate"/>
    </w:r>
    <w:r w:rsidR="005C79EA">
      <w:rPr>
        <w:rFonts w:ascii="Calibri" w:hAnsi="Calibri"/>
        <w:noProof/>
        <w:sz w:val="20"/>
        <w:szCs w:val="20"/>
      </w:rPr>
      <w:t>1</w:t>
    </w:r>
    <w:r w:rsidRPr="00265124">
      <w:rPr>
        <w:rFonts w:ascii="Calibri" w:hAnsi="Calibri"/>
        <w:sz w:val="20"/>
        <w:szCs w:val="20"/>
      </w:rPr>
      <w:fldChar w:fldCharType="end"/>
    </w:r>
  </w:p>
  <w:p w14:paraId="4718F49E" w14:textId="77777777" w:rsidR="00942EA1" w:rsidRPr="002127A6" w:rsidRDefault="00942EA1" w:rsidP="00265124">
    <w:pPr>
      <w:pStyle w:val="Footer"/>
      <w:tabs>
        <w:tab w:val="left" w:pos="0"/>
      </w:tabs>
      <w:jc w:val="left"/>
      <w:rPr>
        <w:rFonts w:ascii="Calibri" w:hAnsi="Calibr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97A2" w14:textId="77777777" w:rsidR="009E174E" w:rsidRDefault="009E174E">
      <w:r>
        <w:separator/>
      </w:r>
    </w:p>
  </w:footnote>
  <w:footnote w:type="continuationSeparator" w:id="0">
    <w:p w14:paraId="25B6C413" w14:textId="77777777" w:rsidR="009E174E" w:rsidRDefault="009E174E">
      <w:r>
        <w:continuationSeparator/>
      </w:r>
    </w:p>
  </w:footnote>
  <w:footnote w:id="1">
    <w:p w14:paraId="45A711A4" w14:textId="77777777" w:rsidR="00B45F82" w:rsidRPr="00F474BA" w:rsidRDefault="00B45F82" w:rsidP="00B45F82">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Each CAA should assess its own capacity and consider certain factors when deciding how best to retain records. Such factors could include the availability of physical space to store records, time and resource limits, and the level of expertise that exists at the organization to support an electronic record retention system. In addition, if records are to be kept only in electronic form, you may need to confirm with your funding source the standards for doing so.</w:t>
      </w:r>
    </w:p>
  </w:footnote>
  <w:footnote w:id="2">
    <w:p w14:paraId="355C9686" w14:textId="77777777" w:rsidR="00B45F82" w:rsidRPr="0056055F" w:rsidRDefault="00B45F82" w:rsidP="00B45F82">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A CAA that does not have an Information Technology department should revise this Policy here to name the person or department at the CAA responsible for maintaining and ensuring the security of electronic systems.</w:t>
      </w:r>
    </w:p>
  </w:footnote>
  <w:footnote w:id="3">
    <w:p w14:paraId="3536F8E5" w14:textId="77777777" w:rsidR="00942EA1" w:rsidRPr="00C01139" w:rsidRDefault="00942EA1">
      <w:pPr>
        <w:pStyle w:val="FootnoteText"/>
        <w:rPr>
          <w:rFonts w:asciiTheme="minorHAnsi" w:hAnsiTheme="minorHAnsi"/>
        </w:rPr>
      </w:pPr>
      <w:r w:rsidRPr="00571A79">
        <w:rPr>
          <w:rStyle w:val="FootnoteReference"/>
          <w:rFonts w:asciiTheme="minorHAnsi" w:hAnsiTheme="minorHAnsi"/>
        </w:rPr>
        <w:footnoteRef/>
      </w:r>
      <w:r w:rsidRPr="00571A79">
        <w:rPr>
          <w:rFonts w:asciiTheme="minorHAnsi" w:hAnsiTheme="minorHAnsi"/>
        </w:rPr>
        <w:t xml:space="preserve"> Consider who at the CAA should be responsible for ensuring that the record retention requirements of grants and contracts are met. The sample policy lists program directors, given their familiarity with and</w:t>
      </w:r>
      <w:r w:rsidRPr="00C01139">
        <w:rPr>
          <w:rFonts w:asciiTheme="minorHAnsi" w:hAnsiTheme="minorHAnsi"/>
        </w:rPr>
        <w:t xml:space="preserve"> oversight over each program at the CAA. Another option could include “Department Heads.” </w:t>
      </w:r>
    </w:p>
  </w:footnote>
  <w:footnote w:id="4">
    <w:p w14:paraId="18F72630" w14:textId="77777777" w:rsidR="00942EA1" w:rsidRPr="00F474BA" w:rsidRDefault="00942EA1">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Consider who at the CAA should be responsible for fielding questions about the Policy and each program’s efforts to comply with it. </w:t>
      </w:r>
    </w:p>
  </w:footnote>
  <w:footnote w:id="5">
    <w:p w14:paraId="29332CB1" w14:textId="77777777" w:rsidR="00942EA1" w:rsidRPr="0056055F" w:rsidRDefault="00942EA1">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For example, the statute of limitations for a federal award cost disallowance might require that a contract for services be retained for three years. That same record would also need to be retained in relation to potential breach of contract claims under state law, for which a statute of limitations of six years applies in that state. Under this policy, the record would be retained for the six-year period.</w:t>
      </w:r>
    </w:p>
  </w:footnote>
  <w:footnote w:id="6">
    <w:p w14:paraId="2B465B2B" w14:textId="77777777" w:rsidR="00942EA1" w:rsidRPr="0056055F" w:rsidRDefault="00942EA1" w:rsidP="009A03AC">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CAAs should consult applicable state laws and/or </w:t>
      </w:r>
      <w:r w:rsidRPr="0056055F">
        <w:rPr>
          <w:rFonts w:asciiTheme="minorHAnsi" w:hAnsiTheme="minorHAnsi"/>
          <w:bCs/>
        </w:rPr>
        <w:t xml:space="preserve">grant/contract provisions for state grants or contracts to determine applicable record retention periods. Adding one year to the required record retention period here offers CAAs a degree of flexibility and time to properly account for and subsequently destroy records for which the retention period has expired. </w:t>
      </w:r>
    </w:p>
  </w:footnote>
  <w:footnote w:id="7">
    <w:p w14:paraId="4524446E" w14:textId="77777777" w:rsidR="00942EA1" w:rsidRPr="0056055F" w:rsidRDefault="00942EA1" w:rsidP="00AC144C">
      <w:pPr>
        <w:pStyle w:val="FootnoteText"/>
        <w:rPr>
          <w:rFonts w:asciiTheme="minorHAnsi" w:hAnsiTheme="minorHAnsi"/>
          <w:bCs/>
        </w:rPr>
      </w:pPr>
      <w:r w:rsidRPr="0056055F">
        <w:rPr>
          <w:rStyle w:val="FootnoteReference"/>
          <w:rFonts w:asciiTheme="minorHAnsi" w:hAnsiTheme="minorHAnsi"/>
        </w:rPr>
        <w:footnoteRef/>
      </w:r>
      <w:r w:rsidRPr="0056055F">
        <w:rPr>
          <w:rFonts w:asciiTheme="minorHAnsi" w:hAnsiTheme="minorHAnsi"/>
        </w:rPr>
        <w:t xml:space="preserve"> </w:t>
      </w:r>
      <w:r w:rsidRPr="0056055F">
        <w:rPr>
          <w:rFonts w:asciiTheme="minorHAnsi" w:hAnsiTheme="minorHAnsi"/>
          <w:bCs/>
        </w:rPr>
        <w:t xml:space="preserve">Under the Uniform Guidance, the federal record retention period is three years after the date of submission of the final expenditure report. See </w:t>
      </w:r>
      <w:hyperlink r:id="rId1" w:anchor="se2.1.200_1333" w:history="1">
        <w:r w:rsidRPr="0056055F">
          <w:rPr>
            <w:rStyle w:val="Hyperlink"/>
            <w:rFonts w:asciiTheme="minorHAnsi" w:hAnsiTheme="minorHAnsi"/>
            <w:bCs/>
          </w:rPr>
          <w:t>2 C.F.R. § 200.333</w:t>
        </w:r>
      </w:hyperlink>
      <w:r w:rsidRPr="0056055F">
        <w:rPr>
          <w:rStyle w:val="Hyperlink"/>
          <w:rFonts w:asciiTheme="minorHAnsi" w:hAnsiTheme="minorHAnsi"/>
          <w:bCs/>
        </w:rPr>
        <w:t xml:space="preserve">; </w:t>
      </w:r>
      <w:hyperlink r:id="rId2" w:anchor="se45.1.75_1361" w:history="1">
        <w:r w:rsidRPr="0056055F">
          <w:rPr>
            <w:rStyle w:val="Hyperlink"/>
            <w:rFonts w:asciiTheme="minorHAnsi" w:hAnsiTheme="minorHAnsi"/>
            <w:bCs/>
          </w:rPr>
          <w:t>45 C.F.R. § 75.361</w:t>
        </w:r>
      </w:hyperlink>
      <w:r w:rsidRPr="0056055F">
        <w:rPr>
          <w:rFonts w:asciiTheme="minorHAnsi" w:hAnsiTheme="minorHAnsi"/>
          <w:bCs/>
        </w:rPr>
        <w:t xml:space="preserve">. That period is extended for audits, claims, or litigation pending at the time the three-year period expires. CAPLAW recommends that CAAs using this sample policy consider implementing a four-year retention period for federal records to offer a degree of flexibility for program directors and others tracking various program records. </w:t>
      </w:r>
    </w:p>
  </w:footnote>
  <w:footnote w:id="8">
    <w:p w14:paraId="1B621890" w14:textId="0A1BE21D" w:rsidR="00942EA1" w:rsidRPr="00AC144C" w:rsidRDefault="00942EA1" w:rsidP="00AC144C">
      <w:pPr>
        <w:pStyle w:val="FootnoteText"/>
      </w:pPr>
      <w:r w:rsidRPr="0056055F">
        <w:rPr>
          <w:rStyle w:val="FootnoteReference"/>
          <w:rFonts w:asciiTheme="minorHAnsi" w:hAnsiTheme="minorHAnsi"/>
        </w:rPr>
        <w:footnoteRef/>
      </w:r>
      <w:r w:rsidRPr="0056055F">
        <w:rPr>
          <w:rFonts w:asciiTheme="minorHAnsi" w:hAnsiTheme="minorHAnsi"/>
        </w:rPr>
        <w:t xml:space="preserve"> Prior to the effective date of the Uniform Guidance (December 26, 2014), a federal awarding agency or pass-through entity could disallow costs at any time. As such, federal grant recipients needed to retain federal </w:t>
      </w:r>
      <w:r w:rsidRPr="0056055F">
        <w:rPr>
          <w:rFonts w:asciiTheme="minorHAnsi" w:hAnsiTheme="minorHAnsi"/>
          <w:bCs/>
        </w:rPr>
        <w:t>grant close-out records, including but not limited to monitoring or audit reports and corrective action plans and reports permanently to protect against potential disallowances. The Uniform Guidance requires federal awarding agencies or pass-through entities to make cost disallowances and notify the non-</w:t>
      </w:r>
      <w:r w:rsidR="002332BE">
        <w:rPr>
          <w:rFonts w:asciiTheme="minorHAnsi" w:hAnsiTheme="minorHAnsi"/>
          <w:bCs/>
        </w:rPr>
        <w:t>federal</w:t>
      </w:r>
      <w:r w:rsidRPr="0056055F">
        <w:rPr>
          <w:rFonts w:asciiTheme="minorHAnsi" w:hAnsiTheme="minorHAnsi"/>
          <w:bCs/>
        </w:rPr>
        <w:t xml:space="preserve"> entity within the record retention period of 3 years. As such, CAAs seeking to protect against cost disallowances for federal awards after December 26, 2014, need only retain such records in accordance with Uniform Guidance requirements. See </w:t>
      </w:r>
      <w:hyperlink r:id="rId3" w:history="1">
        <w:r w:rsidRPr="0056055F">
          <w:rPr>
            <w:rStyle w:val="Hyperlink"/>
            <w:rFonts w:asciiTheme="minorHAnsi" w:hAnsiTheme="minorHAnsi"/>
            <w:bCs/>
          </w:rPr>
          <w:t>2 C.F.R. § 200.344(a)(1)</w:t>
        </w:r>
      </w:hyperlink>
      <w:r w:rsidRPr="0056055F">
        <w:rPr>
          <w:rFonts w:asciiTheme="minorHAnsi" w:hAnsiTheme="minorHAnsi"/>
          <w:bCs/>
        </w:rPr>
        <w:t xml:space="preserve">; </w:t>
      </w:r>
      <w:hyperlink r:id="rId4" w:anchor="se45.1.75_1386" w:history="1">
        <w:r w:rsidRPr="0056055F">
          <w:rPr>
            <w:rStyle w:val="Hyperlink"/>
            <w:rFonts w:asciiTheme="minorHAnsi" w:hAnsiTheme="minorHAnsi"/>
            <w:bCs/>
          </w:rPr>
          <w:t>45 C.F.R. § 75.386(a)(1)</w:t>
        </w:r>
      </w:hyperlink>
      <w:r w:rsidRPr="0056055F">
        <w:rPr>
          <w:rFonts w:asciiTheme="minorHAnsi" w:hAnsiTheme="minorHAnsi"/>
          <w:bCs/>
        </w:rPr>
        <w:t>.</w:t>
      </w:r>
    </w:p>
  </w:footnote>
  <w:footnote w:id="9">
    <w:p w14:paraId="1D5515AB" w14:textId="77777777" w:rsidR="00942EA1" w:rsidRPr="0056055F" w:rsidRDefault="00942EA1" w:rsidP="00AC144C">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Statutes of limitations for contract claims vary by state. CAAs using this sample policy should consult with an attorney in their states to determine what the applicable statute of limitations is for breach of contract claims.  </w:t>
      </w:r>
    </w:p>
  </w:footnote>
  <w:footnote w:id="10">
    <w:p w14:paraId="642D144A" w14:textId="77777777" w:rsidR="00942EA1" w:rsidRPr="0056055F" w:rsidRDefault="00942EA1" w:rsidP="00677A65">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This number would be based on the statute of limitations for breach of contract claims, which varies by state. For example, in Massachusetts the statute of limitations for breach of contract claims is 6 years. A Massachusetts CAA could add 1 year to that statute of limitations to arrive at 7 years. Adding 1 year to the applicable statute of limitations offers CAAs a degree of flexibility and time to properly account for and subsequently destroy records for which the retention period has expired. CAAs using this sample policy should consult with an attorney in their states to determine the applicable statute of limitations for breach of contract claims, and edit the sample policy accordingly.  </w:t>
      </w:r>
    </w:p>
  </w:footnote>
  <w:footnote w:id="11">
    <w:p w14:paraId="30704C8D" w14:textId="77777777" w:rsidR="00942EA1" w:rsidRPr="0056055F" w:rsidRDefault="00942EA1">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Many states have enacted laws regarding the protection of electronic and/or other records containing confidential information. CAPLAW recommends that a CAA working with this sample policy check its state laws and consult with an attorney licensed in your state with knowledge of such laws to ensure compliance.</w:t>
      </w:r>
    </w:p>
  </w:footnote>
  <w:footnote w:id="12">
    <w:p w14:paraId="5F3585C0" w14:textId="45B4340C" w:rsidR="00942EA1" w:rsidRPr="0056055F" w:rsidRDefault="00942EA1">
      <w:pPr>
        <w:pStyle w:val="FootnoteText"/>
        <w:rPr>
          <w:rStyle w:val="FootnoteReference"/>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This definition of protected personally identifiable information mirrors the definition provided in the Uniform Guidance. See </w:t>
      </w:r>
      <w:hyperlink r:id="rId5" w:anchor="se2.1.200_182" w:history="1">
        <w:r w:rsidRPr="0056055F">
          <w:rPr>
            <w:rStyle w:val="Hyperlink"/>
            <w:rFonts w:asciiTheme="minorHAnsi" w:hAnsiTheme="minorHAnsi"/>
          </w:rPr>
          <w:t>2 C.F.R. § 200.82</w:t>
        </w:r>
      </w:hyperlink>
      <w:r w:rsidRPr="0056055F">
        <w:rPr>
          <w:rStyle w:val="Hyperlink"/>
          <w:rFonts w:asciiTheme="minorHAnsi" w:hAnsiTheme="minorHAnsi"/>
        </w:rPr>
        <w:t xml:space="preserve">; </w:t>
      </w:r>
      <w:hyperlink r:id="rId6" w:anchor="se45.1.75_12" w:history="1">
        <w:r w:rsidRPr="0056055F">
          <w:rPr>
            <w:rStyle w:val="Hyperlink"/>
            <w:rFonts w:asciiTheme="minorHAnsi" w:hAnsiTheme="minorHAnsi"/>
          </w:rPr>
          <w:t>45 C.F.R. § 75.2</w:t>
        </w:r>
      </w:hyperlink>
      <w:r w:rsidRPr="0056055F">
        <w:rPr>
          <w:rFonts w:asciiTheme="minorHAnsi" w:hAnsiTheme="minorHAnsi"/>
        </w:rPr>
        <w:t xml:space="preserve">. It does not contain an exhaustive list of types of information that could be considered PII. Most states have laws that define what information an organization must protect as confidential and steps that must be taken to protect such information. A CAA should work with an attorney licensed in its state who is knowledgeable about such laws to ensure compliance, and/or include additional examples of PII to the list. </w:t>
      </w:r>
    </w:p>
  </w:footnote>
  <w:footnote w:id="13">
    <w:p w14:paraId="2CB919C1" w14:textId="77777777" w:rsidR="00CB6136" w:rsidRPr="00F474BA" w:rsidRDefault="00CB6136" w:rsidP="00CB6136">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CAAs may include additional information and operational guidance in this section. For example, a CAA may decide to label records that contain PII accordingly. This section could also detail a process for the identification, labeling, and storage of records, and assign responsibility for operation and ongoing monitoring of this process. CAAs should consider what information, guidance, and processes to include here based on their needs, capacity, and resources, and in consultation with local counsel.</w:t>
      </w:r>
    </w:p>
  </w:footnote>
  <w:footnote w:id="14">
    <w:p w14:paraId="4B431E21" w14:textId="71C7AAA3" w:rsidR="00CB6136" w:rsidRDefault="00CB6136">
      <w:pPr>
        <w:pStyle w:val="FootnoteText"/>
      </w:pPr>
      <w:r>
        <w:rPr>
          <w:rStyle w:val="FootnoteReference"/>
        </w:rPr>
        <w:footnoteRef/>
      </w:r>
      <w:r>
        <w:t xml:space="preserve"> </w:t>
      </w:r>
      <w:r>
        <w:rPr>
          <w:rFonts w:asciiTheme="minorHAnsi" w:hAnsiTheme="minorHAnsi"/>
          <w:bCs/>
          <w:sz w:val="22"/>
          <w:szCs w:val="22"/>
        </w:rPr>
        <w:t>Consider who at CAA is</w:t>
      </w:r>
      <w:r w:rsidRPr="00CB6136">
        <w:rPr>
          <w:rFonts w:asciiTheme="minorHAnsi" w:hAnsiTheme="minorHAnsi"/>
          <w:bCs/>
          <w:sz w:val="22"/>
          <w:szCs w:val="22"/>
        </w:rPr>
        <w:t xml:space="preserve"> responsible for </w:t>
      </w:r>
      <w:r>
        <w:rPr>
          <w:rFonts w:asciiTheme="minorHAnsi" w:hAnsiTheme="minorHAnsi"/>
          <w:bCs/>
          <w:sz w:val="22"/>
          <w:szCs w:val="22"/>
        </w:rPr>
        <w:t xml:space="preserve">the </w:t>
      </w:r>
      <w:r w:rsidRPr="00CB6136">
        <w:rPr>
          <w:rFonts w:asciiTheme="minorHAnsi" w:hAnsiTheme="minorHAnsi"/>
          <w:bCs/>
          <w:sz w:val="22"/>
          <w:szCs w:val="22"/>
        </w:rPr>
        <w:t>overall administration of the Policy</w:t>
      </w:r>
      <w:r>
        <w:rPr>
          <w:rFonts w:asciiTheme="minorHAnsi" w:hAnsiTheme="minorHAnsi"/>
          <w:bCs/>
          <w:sz w:val="22"/>
          <w:szCs w:val="22"/>
        </w:rPr>
        <w:t>.</w:t>
      </w:r>
    </w:p>
  </w:footnote>
  <w:footnote w:id="15">
    <w:p w14:paraId="2359105C" w14:textId="77777777" w:rsidR="00942EA1" w:rsidRPr="0056055F" w:rsidRDefault="00942EA1">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Sarbanes Oxley Act, </w:t>
      </w:r>
      <w:hyperlink r:id="rId7" w:history="1">
        <w:r w:rsidRPr="0056055F">
          <w:rPr>
            <w:rStyle w:val="Hyperlink"/>
            <w:rFonts w:asciiTheme="minorHAnsi" w:hAnsiTheme="minorHAnsi"/>
          </w:rPr>
          <w:t>18 U.S.C. § 1519</w:t>
        </w:r>
      </w:hyperlink>
      <w:r w:rsidRPr="0056055F">
        <w:rPr>
          <w:rFonts w:asciiTheme="minorHAnsi" w:hAnsiTheme="minorHAnsi"/>
        </w:rPr>
        <w:t>.</w:t>
      </w:r>
    </w:p>
  </w:footnote>
  <w:footnote w:id="16">
    <w:p w14:paraId="58915013" w14:textId="77777777" w:rsidR="00942EA1" w:rsidRPr="00F474BA" w:rsidRDefault="00942EA1">
      <w:pPr>
        <w:pStyle w:val="FootnoteText"/>
        <w:rPr>
          <w:rFonts w:asciiTheme="minorHAnsi" w:hAnsiTheme="minorHAnsi"/>
        </w:rPr>
      </w:pPr>
      <w:r w:rsidRPr="0056055F">
        <w:rPr>
          <w:rStyle w:val="FootnoteReference"/>
          <w:rFonts w:asciiTheme="minorHAnsi" w:hAnsiTheme="minorHAnsi"/>
        </w:rPr>
        <w:footnoteRef/>
      </w:r>
      <w:r w:rsidRPr="0056055F">
        <w:rPr>
          <w:rFonts w:asciiTheme="minorHAnsi" w:hAnsiTheme="minorHAnsi"/>
        </w:rPr>
        <w:t xml:space="preserve"> CAAs should consider, in consultation with local counsel, what, if any potential sanctions to include in the Policy for failures to comply. These could range in severity and include reference to such consequences as disciplinary action for non-compliant personnel, the prospect of civil litigation, and/or a reminder of potential civil and criminal penalties, including fines and imprisonment. CAAs should consider the costs and benefits of including such a provision. If a CAA does include language related to non-compliance, it should be prepared to enforce the Policy and any applicable sanctions contained therein.</w:t>
      </w:r>
      <w:r w:rsidRPr="00F474BA">
        <w:rPr>
          <w:rFonts w:asciiTheme="minorHAnsi" w:hAnsiTheme="minorHAnsi"/>
        </w:rPr>
        <w:t xml:space="preserve"> </w:t>
      </w:r>
    </w:p>
  </w:footnote>
  <w:footnote w:id="17">
    <w:p w14:paraId="59B9BC85" w14:textId="77777777" w:rsidR="00942EA1" w:rsidRPr="00F474BA" w:rsidRDefault="00942EA1" w:rsidP="0090101F">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CAAs using this sample policy should consult state laws and grant requirements to determine the applicable record retention time period for each type of record listed, and edit the Policy as necessary.</w:t>
      </w:r>
    </w:p>
  </w:footnote>
  <w:footnote w:id="18">
    <w:p w14:paraId="4C8B2CAC" w14:textId="6B1CB0E8" w:rsidR="00942EA1" w:rsidRPr="00F474BA" w:rsidRDefault="00942EA1">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w:t>
      </w:r>
      <w:r w:rsidRPr="00D528CD">
        <w:rPr>
          <w:rFonts w:asciiTheme="minorHAnsi" w:hAnsiTheme="minorHAnsi"/>
        </w:rPr>
        <w:t>Unless otherwise noted,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w:t>
      </w:r>
    </w:p>
  </w:footnote>
  <w:footnote w:id="19">
    <w:p w14:paraId="45822F6E" w14:textId="42526998" w:rsidR="00942EA1" w:rsidRDefault="00942EA1">
      <w:pPr>
        <w:pStyle w:val="FootnoteText"/>
      </w:pPr>
      <w:r w:rsidRPr="00F474BA">
        <w:rPr>
          <w:rStyle w:val="FootnoteReference"/>
          <w:rFonts w:asciiTheme="minorHAnsi" w:hAnsiTheme="minorHAnsi"/>
        </w:rPr>
        <w:footnoteRef/>
      </w:r>
      <w:r w:rsidRPr="00F474BA">
        <w:rPr>
          <w:rFonts w:asciiTheme="minorHAnsi" w:hAnsiTheme="minorHAnsi"/>
        </w:rPr>
        <w:t xml:space="preserve"> Unless otherwise noted,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w:t>
      </w:r>
      <w:r>
        <w:t xml:space="preserve"> </w:t>
      </w:r>
    </w:p>
  </w:footnote>
  <w:footnote w:id="20">
    <w:p w14:paraId="29913B4E" w14:textId="580E7E09" w:rsidR="00942EA1" w:rsidRPr="002E165A" w:rsidRDefault="00942EA1" w:rsidP="00F3232C">
      <w:pPr>
        <w:pStyle w:val="FootnoteText"/>
        <w:rPr>
          <w:rFonts w:asciiTheme="minorHAnsi" w:hAnsiTheme="minorHAnsi"/>
        </w:rPr>
      </w:pPr>
      <w:r w:rsidRPr="002E165A">
        <w:rPr>
          <w:rStyle w:val="FootnoteReference"/>
          <w:rFonts w:asciiTheme="minorHAnsi" w:hAnsiTheme="minorHAnsi"/>
        </w:rPr>
        <w:footnoteRef/>
      </w:r>
      <w:r w:rsidRPr="002E165A">
        <w:rPr>
          <w:rFonts w:asciiTheme="minorHAnsi" w:hAnsiTheme="minorHAnsi"/>
        </w:rPr>
        <w:t xml:space="preserve"> Records related to employment taxes, including payroll records and summaries and withholding tax statements, must be retained for at least 4 years, </w:t>
      </w:r>
      <w:hyperlink r:id="rId8" w:anchor="en_US_2020_publink1000294375" w:history="1">
        <w:r w:rsidRPr="002E165A">
          <w:rPr>
            <w:rStyle w:val="Hyperlink"/>
            <w:rFonts w:asciiTheme="minorHAnsi" w:hAnsiTheme="minorHAnsi"/>
          </w:rPr>
          <w:t>according to the IRS</w:t>
        </w:r>
      </w:hyperlink>
      <w:r w:rsidRPr="002E165A">
        <w:rPr>
          <w:rFonts w:asciiTheme="minorHAnsi" w:hAnsiTheme="minorHAnsi"/>
        </w:rPr>
        <w:t>.</w:t>
      </w:r>
      <w:r w:rsidR="00574753">
        <w:rPr>
          <w:rFonts w:asciiTheme="minorHAnsi" w:hAnsiTheme="minorHAnsi"/>
        </w:rPr>
        <w:t xml:space="preserve"> Because such records may relate to a contract claim governed by state law, we opted for a longer period. Generally, the statute of limitations for contract claims is 6 years but you will need to confirm the period required by your state laws.</w:t>
      </w:r>
    </w:p>
  </w:footnote>
  <w:footnote w:id="21">
    <w:p w14:paraId="7B5515AA" w14:textId="77777777" w:rsidR="00942EA1" w:rsidRPr="00F474BA" w:rsidRDefault="00942EA1" w:rsidP="001830B6">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 w:id="22">
    <w:p w14:paraId="0A2D200F" w14:textId="77777777" w:rsidR="00942EA1" w:rsidRPr="00F474BA" w:rsidRDefault="00942EA1" w:rsidP="009D6647">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 w:id="23">
    <w:p w14:paraId="56675675" w14:textId="77777777" w:rsidR="00942EA1" w:rsidRPr="00F474BA" w:rsidRDefault="00942EA1" w:rsidP="009D6647">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 w:id="24">
    <w:p w14:paraId="556CAA16" w14:textId="77777777" w:rsidR="00942EA1" w:rsidRPr="00F474BA" w:rsidRDefault="00942EA1">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Under the Uniform Guidance, CAAs must retain records for real property and equipment acquired with federal funds for at least 3 years after final disposition. See </w:t>
      </w:r>
      <w:hyperlink r:id="rId9" w:anchor="se2.1.200_1333" w:history="1">
        <w:r w:rsidRPr="00F474BA">
          <w:rPr>
            <w:rStyle w:val="Hyperlink"/>
            <w:rFonts w:asciiTheme="minorHAnsi" w:hAnsiTheme="minorHAnsi"/>
          </w:rPr>
          <w:t>2 C.F.R. § 200.333(c)</w:t>
        </w:r>
      </w:hyperlink>
      <w:r w:rsidRPr="00F474BA">
        <w:rPr>
          <w:rFonts w:asciiTheme="minorHAnsi" w:hAnsiTheme="minorHAnsi"/>
        </w:rPr>
        <w:t xml:space="preserve">; </w:t>
      </w:r>
      <w:hyperlink r:id="rId10" w:anchor="se45.1.75_1361" w:history="1">
        <w:r w:rsidRPr="00F474BA">
          <w:rPr>
            <w:rStyle w:val="Hyperlink"/>
            <w:rFonts w:asciiTheme="minorHAnsi" w:hAnsiTheme="minorHAnsi"/>
          </w:rPr>
          <w:t>45 C.F.R. § 75.361(c)</w:t>
        </w:r>
      </w:hyperlink>
      <w:r w:rsidRPr="00F474BA">
        <w:rPr>
          <w:rFonts w:asciiTheme="minorHAnsi" w:hAnsiTheme="minorHAnsi"/>
        </w:rPr>
        <w:t>. While the retention periods contained in this section would cover the retention period required by the Uniform Guidance, CAAs should be aware if they amend this section or other sections that pertain to records for real property and equipment acquired with federal funds.</w:t>
      </w:r>
    </w:p>
  </w:footnote>
  <w:footnote w:id="25">
    <w:p w14:paraId="44C5DF37" w14:textId="31205C55" w:rsidR="00942EA1" w:rsidRPr="00F474BA" w:rsidRDefault="00942EA1" w:rsidP="00741AC8">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w:t>
      </w:r>
      <w:r w:rsidR="002F2571">
        <w:rPr>
          <w:rFonts w:asciiTheme="minorHAnsi" w:hAnsiTheme="minorHAnsi"/>
        </w:rPr>
        <w:t>Unless otherwise noted, t</w:t>
      </w:r>
      <w:r w:rsidRPr="00F474BA">
        <w:rPr>
          <w:rFonts w:asciiTheme="minorHAnsi" w:hAnsiTheme="minorHAnsi"/>
        </w:rPr>
        <w:t xml:space="preserve">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 w:id="26">
    <w:p w14:paraId="00AA2B5E" w14:textId="77777777" w:rsidR="005C3FA8" w:rsidRPr="00AF7F42" w:rsidRDefault="005C3FA8" w:rsidP="005C3FA8">
      <w:pPr>
        <w:pStyle w:val="FootnoteText"/>
        <w:rPr>
          <w:rFonts w:asciiTheme="minorHAnsi" w:hAnsiTheme="minorHAnsi"/>
        </w:rPr>
      </w:pPr>
      <w:r w:rsidRPr="00AF7F42">
        <w:rPr>
          <w:rStyle w:val="FootnoteReference"/>
          <w:rFonts w:asciiTheme="minorHAnsi" w:hAnsiTheme="minorHAnsi"/>
        </w:rPr>
        <w:footnoteRef/>
      </w:r>
      <w:r w:rsidRPr="00AF7F42">
        <w:rPr>
          <w:rFonts w:asciiTheme="minorHAnsi" w:hAnsiTheme="minorHAnsi"/>
        </w:rPr>
        <w:t xml:space="preserve"> For I-9 retention for employees hired, </w:t>
      </w:r>
      <w:hyperlink r:id="rId11" w:history="1">
        <w:r w:rsidRPr="00AF7F42">
          <w:rPr>
            <w:rStyle w:val="Hyperlink"/>
            <w:rFonts w:asciiTheme="minorHAnsi" w:hAnsiTheme="minorHAnsi"/>
          </w:rPr>
          <w:t>8 U.S.C. § 1324a(b)(3)</w:t>
        </w:r>
      </w:hyperlink>
      <w:r w:rsidRPr="00AF7F42">
        <w:rPr>
          <w:rFonts w:asciiTheme="minorHAnsi" w:hAnsiTheme="minorHAnsi"/>
        </w:rPr>
        <w:t xml:space="preserve"> requires the later of: 3 years after the date of hiring an individual, or one year after the individual’s employment is terminated. This requirement falls within the retention period listed in this sample policy.</w:t>
      </w:r>
    </w:p>
  </w:footnote>
  <w:footnote w:id="27">
    <w:p w14:paraId="081D82B1" w14:textId="77777777" w:rsidR="005C3FA8" w:rsidRPr="00AF7F42" w:rsidRDefault="005C3FA8" w:rsidP="005C3FA8">
      <w:pPr>
        <w:pStyle w:val="FootnoteText"/>
        <w:rPr>
          <w:rFonts w:asciiTheme="minorHAnsi" w:hAnsiTheme="minorHAnsi"/>
        </w:rPr>
      </w:pPr>
      <w:r w:rsidRPr="00AF7F42">
        <w:rPr>
          <w:rStyle w:val="FootnoteReference"/>
          <w:rFonts w:asciiTheme="minorHAnsi" w:hAnsiTheme="minorHAnsi"/>
        </w:rPr>
        <w:footnoteRef/>
      </w:r>
      <w:r w:rsidRPr="00AF7F42">
        <w:rPr>
          <w:rFonts w:asciiTheme="minorHAnsi" w:hAnsiTheme="minorHAnsi"/>
        </w:rPr>
        <w:t xml:space="preserve"> The Employee Retirement and Income Security Act (ERISA) requires that records related to employee benefits be retained for at least 6 years.</w:t>
      </w:r>
    </w:p>
  </w:footnote>
  <w:footnote w:id="28">
    <w:p w14:paraId="08A942B1" w14:textId="1BD574C2" w:rsidR="00942EA1" w:rsidRPr="00F474BA" w:rsidRDefault="00942EA1">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The retention of I-9 verification forms is governed by </w:t>
      </w:r>
      <w:hyperlink r:id="rId12" w:history="1">
        <w:r w:rsidRPr="00F474BA">
          <w:rPr>
            <w:rStyle w:val="Hyperlink"/>
            <w:rFonts w:asciiTheme="minorHAnsi" w:hAnsiTheme="minorHAnsi"/>
          </w:rPr>
          <w:t>8 U.S.C. § 1324a(b)(3)</w:t>
        </w:r>
      </w:hyperlink>
      <w:r w:rsidRPr="00F474BA">
        <w:rPr>
          <w:rFonts w:asciiTheme="minorHAnsi" w:hAnsiTheme="minorHAnsi"/>
        </w:rPr>
        <w:t xml:space="preserve">, which requires employers to retain the forms for 3 years after recruitment of an individual but not hiring them. </w:t>
      </w:r>
    </w:p>
  </w:footnote>
  <w:footnote w:id="29">
    <w:p w14:paraId="5D36C6BC" w14:textId="77777777" w:rsidR="00942EA1" w:rsidRPr="00F474BA" w:rsidRDefault="00942EA1">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Records created related to FMLA are subject to the requirements of the FLSA, which requires a retention period of 3 years. </w:t>
      </w:r>
    </w:p>
  </w:footnote>
  <w:footnote w:id="30">
    <w:p w14:paraId="19730AB1" w14:textId="77777777" w:rsidR="00942EA1" w:rsidRPr="00F474BA" w:rsidRDefault="00942EA1" w:rsidP="00F82BC2">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 w:id="31">
    <w:p w14:paraId="6D6DED75" w14:textId="130AA1B9" w:rsidR="00942EA1" w:rsidRPr="00F474BA" w:rsidRDefault="00942EA1" w:rsidP="00F82BC2">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Unless otherwise noted,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 w:id="32">
    <w:p w14:paraId="7B560F7C" w14:textId="77777777" w:rsidR="00DA129E" w:rsidRPr="00F474BA" w:rsidRDefault="00DA129E" w:rsidP="00DA129E">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This retention period reflects the general retention requirement of 3 years contained in the Uniform Guidance for records related to federal funding.</w:t>
      </w:r>
    </w:p>
  </w:footnote>
  <w:footnote w:id="33">
    <w:p w14:paraId="61BAA577" w14:textId="77777777" w:rsidR="00942EA1" w:rsidRDefault="00942EA1" w:rsidP="007E05B4">
      <w:pPr>
        <w:pStyle w:val="FootnoteText"/>
      </w:pPr>
      <w:r w:rsidRPr="00F474BA">
        <w:rPr>
          <w:rStyle w:val="FootnoteReference"/>
          <w:rFonts w:asciiTheme="minorHAnsi" w:hAnsiTheme="minorHAnsi"/>
        </w:rPr>
        <w:footnoteRef/>
      </w:r>
      <w:r w:rsidRPr="00F474BA">
        <w:rPr>
          <w:rFonts w:asciiTheme="minorHAnsi" w:hAnsiTheme="minorHAnsi"/>
        </w:rPr>
        <w:t xml:space="preserve">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w:t>
      </w:r>
      <w:r>
        <w:t xml:space="preserve"> </w:t>
      </w:r>
    </w:p>
  </w:footnote>
  <w:footnote w:id="34">
    <w:p w14:paraId="506AAE15" w14:textId="77777777" w:rsidR="00942EA1" w:rsidRPr="00F474BA" w:rsidRDefault="00942EA1" w:rsidP="007E05B4">
      <w:pPr>
        <w:pStyle w:val="FootnoteText"/>
        <w:rPr>
          <w:rFonts w:asciiTheme="minorHAnsi" w:hAnsiTheme="minorHAnsi"/>
        </w:rPr>
      </w:pPr>
      <w:r w:rsidRPr="00F474BA">
        <w:rPr>
          <w:rStyle w:val="FootnoteReference"/>
          <w:rFonts w:asciiTheme="minorHAnsi" w:hAnsiTheme="minorHAnsi"/>
        </w:rPr>
        <w:footnoteRef/>
      </w:r>
      <w:r w:rsidRPr="00F474BA">
        <w:rPr>
          <w:rFonts w:asciiTheme="minorHAnsi" w:hAnsiTheme="minorHAnsi"/>
        </w:rPr>
        <w:t xml:space="preserve"> The retention periods in this section reflect best practices and not any specific federal or state requirement. CAAs using this sample policy should consult an attorney familiar with their state laws to clarify what, if any, additional record retention requirements apply to these records.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B2D6" w14:textId="77777777" w:rsidR="00942EA1" w:rsidRPr="00F669BE" w:rsidRDefault="00942EA1" w:rsidP="00F669B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6EC"/>
    <w:multiLevelType w:val="hybridMultilevel"/>
    <w:tmpl w:val="7F0EA2FA"/>
    <w:lvl w:ilvl="0" w:tplc="2672340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2F50071"/>
    <w:multiLevelType w:val="hybridMultilevel"/>
    <w:tmpl w:val="4A82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57C53"/>
    <w:multiLevelType w:val="hybridMultilevel"/>
    <w:tmpl w:val="A1E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3F5A"/>
    <w:multiLevelType w:val="hybridMultilevel"/>
    <w:tmpl w:val="4DF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7830"/>
    <w:multiLevelType w:val="hybridMultilevel"/>
    <w:tmpl w:val="3EC4397A"/>
    <w:lvl w:ilvl="0" w:tplc="8432EB8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74AA7"/>
    <w:multiLevelType w:val="hybridMultilevel"/>
    <w:tmpl w:val="698A556A"/>
    <w:lvl w:ilvl="0" w:tplc="8C8EBD2C">
      <w:start w:val="9"/>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6723404">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C25E97"/>
    <w:multiLevelType w:val="hybridMultilevel"/>
    <w:tmpl w:val="347E3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71345B"/>
    <w:multiLevelType w:val="hybridMultilevel"/>
    <w:tmpl w:val="A1747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2A693E"/>
    <w:multiLevelType w:val="hybridMultilevel"/>
    <w:tmpl w:val="970C548E"/>
    <w:lvl w:ilvl="0" w:tplc="ED6CD3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073D8"/>
    <w:multiLevelType w:val="hybridMultilevel"/>
    <w:tmpl w:val="B4B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9350A"/>
    <w:multiLevelType w:val="hybridMultilevel"/>
    <w:tmpl w:val="17F6B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ED3DE6"/>
    <w:multiLevelType w:val="hybridMultilevel"/>
    <w:tmpl w:val="FC9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0"/>
  </w:num>
  <w:num w:numId="6">
    <w:abstractNumId w:val="6"/>
  </w:num>
  <w:num w:numId="7">
    <w:abstractNumId w:val="8"/>
  </w:num>
  <w:num w:numId="8">
    <w:abstractNumId w:val="4"/>
  </w:num>
  <w:num w:numId="9">
    <w:abstractNumId w:val="1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A1"/>
    <w:rsid w:val="0000028C"/>
    <w:rsid w:val="00004CA0"/>
    <w:rsid w:val="00011B67"/>
    <w:rsid w:val="00016910"/>
    <w:rsid w:val="0005046E"/>
    <w:rsid w:val="00051E8D"/>
    <w:rsid w:val="00052829"/>
    <w:rsid w:val="000558EA"/>
    <w:rsid w:val="00060412"/>
    <w:rsid w:val="00062FA6"/>
    <w:rsid w:val="00071CF9"/>
    <w:rsid w:val="000816F9"/>
    <w:rsid w:val="000B0815"/>
    <w:rsid w:val="000B6ED9"/>
    <w:rsid w:val="000C6BEF"/>
    <w:rsid w:val="000D4E5A"/>
    <w:rsid w:val="000E3A4C"/>
    <w:rsid w:val="00120715"/>
    <w:rsid w:val="00123D1D"/>
    <w:rsid w:val="0012601F"/>
    <w:rsid w:val="00127BBA"/>
    <w:rsid w:val="00130835"/>
    <w:rsid w:val="00137E6C"/>
    <w:rsid w:val="001400DA"/>
    <w:rsid w:val="00164B6C"/>
    <w:rsid w:val="00173E90"/>
    <w:rsid w:val="00174BEF"/>
    <w:rsid w:val="001830B6"/>
    <w:rsid w:val="001A180A"/>
    <w:rsid w:val="001A462A"/>
    <w:rsid w:val="001A4707"/>
    <w:rsid w:val="001B683D"/>
    <w:rsid w:val="001D0208"/>
    <w:rsid w:val="001D4A36"/>
    <w:rsid w:val="001E522A"/>
    <w:rsid w:val="001F46CA"/>
    <w:rsid w:val="002127A6"/>
    <w:rsid w:val="00214E48"/>
    <w:rsid w:val="002332BE"/>
    <w:rsid w:val="0023471B"/>
    <w:rsid w:val="0023527D"/>
    <w:rsid w:val="00236D5C"/>
    <w:rsid w:val="00253E1F"/>
    <w:rsid w:val="00265124"/>
    <w:rsid w:val="00271C7C"/>
    <w:rsid w:val="002739BD"/>
    <w:rsid w:val="002772FA"/>
    <w:rsid w:val="00286FBF"/>
    <w:rsid w:val="00287167"/>
    <w:rsid w:val="002943DE"/>
    <w:rsid w:val="00297D9C"/>
    <w:rsid w:val="002C514A"/>
    <w:rsid w:val="002D1280"/>
    <w:rsid w:val="002D1290"/>
    <w:rsid w:val="002D16D6"/>
    <w:rsid w:val="002D2EAD"/>
    <w:rsid w:val="002E4C80"/>
    <w:rsid w:val="002F0336"/>
    <w:rsid w:val="002F2571"/>
    <w:rsid w:val="002F6D10"/>
    <w:rsid w:val="003007D7"/>
    <w:rsid w:val="00306AAA"/>
    <w:rsid w:val="00312E90"/>
    <w:rsid w:val="00315C99"/>
    <w:rsid w:val="00323761"/>
    <w:rsid w:val="00324E08"/>
    <w:rsid w:val="00333130"/>
    <w:rsid w:val="0033636B"/>
    <w:rsid w:val="00345FB2"/>
    <w:rsid w:val="00372293"/>
    <w:rsid w:val="00372ACB"/>
    <w:rsid w:val="00373943"/>
    <w:rsid w:val="00380EE1"/>
    <w:rsid w:val="00391519"/>
    <w:rsid w:val="00391E84"/>
    <w:rsid w:val="00392B78"/>
    <w:rsid w:val="003937E4"/>
    <w:rsid w:val="003C38D2"/>
    <w:rsid w:val="003C7FA0"/>
    <w:rsid w:val="003D003D"/>
    <w:rsid w:val="003D3522"/>
    <w:rsid w:val="003E3B3A"/>
    <w:rsid w:val="003F5A8B"/>
    <w:rsid w:val="003F782B"/>
    <w:rsid w:val="004079AF"/>
    <w:rsid w:val="004128DC"/>
    <w:rsid w:val="00414E08"/>
    <w:rsid w:val="004246FA"/>
    <w:rsid w:val="004267AD"/>
    <w:rsid w:val="00436357"/>
    <w:rsid w:val="00442130"/>
    <w:rsid w:val="00447D88"/>
    <w:rsid w:val="004563E9"/>
    <w:rsid w:val="00461D4B"/>
    <w:rsid w:val="004626D6"/>
    <w:rsid w:val="00462E77"/>
    <w:rsid w:val="00463C81"/>
    <w:rsid w:val="0048191B"/>
    <w:rsid w:val="004931F9"/>
    <w:rsid w:val="004941E0"/>
    <w:rsid w:val="004A31E0"/>
    <w:rsid w:val="004A4507"/>
    <w:rsid w:val="004B003A"/>
    <w:rsid w:val="004B1896"/>
    <w:rsid w:val="004B5683"/>
    <w:rsid w:val="004D7265"/>
    <w:rsid w:val="004E6728"/>
    <w:rsid w:val="004F4CFE"/>
    <w:rsid w:val="004F7597"/>
    <w:rsid w:val="00501485"/>
    <w:rsid w:val="00501B8D"/>
    <w:rsid w:val="005061D3"/>
    <w:rsid w:val="00511B72"/>
    <w:rsid w:val="0051365E"/>
    <w:rsid w:val="00514D3A"/>
    <w:rsid w:val="00527982"/>
    <w:rsid w:val="0053754A"/>
    <w:rsid w:val="0056055F"/>
    <w:rsid w:val="00571A79"/>
    <w:rsid w:val="00574753"/>
    <w:rsid w:val="0058280A"/>
    <w:rsid w:val="00590479"/>
    <w:rsid w:val="005944CD"/>
    <w:rsid w:val="005A240B"/>
    <w:rsid w:val="005A654A"/>
    <w:rsid w:val="005C3FA8"/>
    <w:rsid w:val="005C79EA"/>
    <w:rsid w:val="005D5662"/>
    <w:rsid w:val="005F185D"/>
    <w:rsid w:val="005F3B03"/>
    <w:rsid w:val="005F5E19"/>
    <w:rsid w:val="00606A8D"/>
    <w:rsid w:val="00613124"/>
    <w:rsid w:val="006220E6"/>
    <w:rsid w:val="006401F8"/>
    <w:rsid w:val="006636FD"/>
    <w:rsid w:val="00672A91"/>
    <w:rsid w:val="006777E8"/>
    <w:rsid w:val="00677A65"/>
    <w:rsid w:val="006860F7"/>
    <w:rsid w:val="006A5A63"/>
    <w:rsid w:val="006C758F"/>
    <w:rsid w:val="006D37CC"/>
    <w:rsid w:val="006F074F"/>
    <w:rsid w:val="00704E14"/>
    <w:rsid w:val="00705BFF"/>
    <w:rsid w:val="0072090F"/>
    <w:rsid w:val="00725FDB"/>
    <w:rsid w:val="0073562D"/>
    <w:rsid w:val="00741AC8"/>
    <w:rsid w:val="007429ED"/>
    <w:rsid w:val="00745AF0"/>
    <w:rsid w:val="00745EC7"/>
    <w:rsid w:val="00763BCD"/>
    <w:rsid w:val="00766E57"/>
    <w:rsid w:val="00781A8A"/>
    <w:rsid w:val="007832E8"/>
    <w:rsid w:val="0079758B"/>
    <w:rsid w:val="007979A8"/>
    <w:rsid w:val="007A5436"/>
    <w:rsid w:val="007B0FA3"/>
    <w:rsid w:val="007C4F2A"/>
    <w:rsid w:val="007D0035"/>
    <w:rsid w:val="007E05B4"/>
    <w:rsid w:val="007F39D2"/>
    <w:rsid w:val="007F46BB"/>
    <w:rsid w:val="007F4A3D"/>
    <w:rsid w:val="007F4C6D"/>
    <w:rsid w:val="007F64DD"/>
    <w:rsid w:val="0080013F"/>
    <w:rsid w:val="00806B73"/>
    <w:rsid w:val="00821B31"/>
    <w:rsid w:val="008309DA"/>
    <w:rsid w:val="008336FD"/>
    <w:rsid w:val="00837032"/>
    <w:rsid w:val="00841047"/>
    <w:rsid w:val="00841586"/>
    <w:rsid w:val="00844763"/>
    <w:rsid w:val="00853389"/>
    <w:rsid w:val="008573D7"/>
    <w:rsid w:val="00871DF6"/>
    <w:rsid w:val="008736A3"/>
    <w:rsid w:val="008742F6"/>
    <w:rsid w:val="00882CC2"/>
    <w:rsid w:val="008863A1"/>
    <w:rsid w:val="008B05BB"/>
    <w:rsid w:val="008C1DEE"/>
    <w:rsid w:val="008E09F5"/>
    <w:rsid w:val="008E236E"/>
    <w:rsid w:val="008E318E"/>
    <w:rsid w:val="008E49CC"/>
    <w:rsid w:val="008F5EAD"/>
    <w:rsid w:val="008F67CC"/>
    <w:rsid w:val="0090101F"/>
    <w:rsid w:val="00906A10"/>
    <w:rsid w:val="0091091C"/>
    <w:rsid w:val="00913FFD"/>
    <w:rsid w:val="00916124"/>
    <w:rsid w:val="00917386"/>
    <w:rsid w:val="00922B9E"/>
    <w:rsid w:val="00926372"/>
    <w:rsid w:val="0092654C"/>
    <w:rsid w:val="00935D8C"/>
    <w:rsid w:val="00942EA1"/>
    <w:rsid w:val="009503C5"/>
    <w:rsid w:val="00956037"/>
    <w:rsid w:val="00957777"/>
    <w:rsid w:val="009656EA"/>
    <w:rsid w:val="009779D0"/>
    <w:rsid w:val="0098150F"/>
    <w:rsid w:val="009A03AC"/>
    <w:rsid w:val="009A46B7"/>
    <w:rsid w:val="009A71BF"/>
    <w:rsid w:val="009B0D41"/>
    <w:rsid w:val="009B60E0"/>
    <w:rsid w:val="009D6647"/>
    <w:rsid w:val="009E174E"/>
    <w:rsid w:val="009E1FB9"/>
    <w:rsid w:val="009F33FF"/>
    <w:rsid w:val="009F7B7D"/>
    <w:rsid w:val="00A05F0C"/>
    <w:rsid w:val="00A15C41"/>
    <w:rsid w:val="00A1669B"/>
    <w:rsid w:val="00A23FF8"/>
    <w:rsid w:val="00A33533"/>
    <w:rsid w:val="00A4348E"/>
    <w:rsid w:val="00A45153"/>
    <w:rsid w:val="00A526D7"/>
    <w:rsid w:val="00A5409E"/>
    <w:rsid w:val="00A558EB"/>
    <w:rsid w:val="00A71CD3"/>
    <w:rsid w:val="00A905FB"/>
    <w:rsid w:val="00A97813"/>
    <w:rsid w:val="00AA22FC"/>
    <w:rsid w:val="00AA5669"/>
    <w:rsid w:val="00AB6438"/>
    <w:rsid w:val="00AC144C"/>
    <w:rsid w:val="00AE26DB"/>
    <w:rsid w:val="00AF166B"/>
    <w:rsid w:val="00B078EC"/>
    <w:rsid w:val="00B26A25"/>
    <w:rsid w:val="00B40067"/>
    <w:rsid w:val="00B415CD"/>
    <w:rsid w:val="00B4170E"/>
    <w:rsid w:val="00B45F82"/>
    <w:rsid w:val="00B4635A"/>
    <w:rsid w:val="00B468DC"/>
    <w:rsid w:val="00B47281"/>
    <w:rsid w:val="00B56D40"/>
    <w:rsid w:val="00B65C97"/>
    <w:rsid w:val="00B71E19"/>
    <w:rsid w:val="00B773E7"/>
    <w:rsid w:val="00B85D4B"/>
    <w:rsid w:val="00BA216A"/>
    <w:rsid w:val="00BA4333"/>
    <w:rsid w:val="00BA6419"/>
    <w:rsid w:val="00BC5BAD"/>
    <w:rsid w:val="00BE1A57"/>
    <w:rsid w:val="00BF0E3F"/>
    <w:rsid w:val="00BF4D8F"/>
    <w:rsid w:val="00C01139"/>
    <w:rsid w:val="00C04312"/>
    <w:rsid w:val="00C04F71"/>
    <w:rsid w:val="00C1326C"/>
    <w:rsid w:val="00C13F3B"/>
    <w:rsid w:val="00C24304"/>
    <w:rsid w:val="00C33356"/>
    <w:rsid w:val="00C52235"/>
    <w:rsid w:val="00C538BF"/>
    <w:rsid w:val="00C54324"/>
    <w:rsid w:val="00C54D96"/>
    <w:rsid w:val="00C57C84"/>
    <w:rsid w:val="00C6062F"/>
    <w:rsid w:val="00C61A97"/>
    <w:rsid w:val="00CA30FA"/>
    <w:rsid w:val="00CA645E"/>
    <w:rsid w:val="00CB6136"/>
    <w:rsid w:val="00CC56AD"/>
    <w:rsid w:val="00CC5808"/>
    <w:rsid w:val="00CC772B"/>
    <w:rsid w:val="00CD5000"/>
    <w:rsid w:val="00CD5BE2"/>
    <w:rsid w:val="00CF2472"/>
    <w:rsid w:val="00CF4E42"/>
    <w:rsid w:val="00D004F4"/>
    <w:rsid w:val="00D02214"/>
    <w:rsid w:val="00D05C60"/>
    <w:rsid w:val="00D30121"/>
    <w:rsid w:val="00D454E9"/>
    <w:rsid w:val="00D520A0"/>
    <w:rsid w:val="00D528CD"/>
    <w:rsid w:val="00D54B66"/>
    <w:rsid w:val="00D71737"/>
    <w:rsid w:val="00D72CF0"/>
    <w:rsid w:val="00DA06BA"/>
    <w:rsid w:val="00DA129E"/>
    <w:rsid w:val="00DC0FFD"/>
    <w:rsid w:val="00DC20A7"/>
    <w:rsid w:val="00DD3D93"/>
    <w:rsid w:val="00DD6461"/>
    <w:rsid w:val="00DE000D"/>
    <w:rsid w:val="00DE2421"/>
    <w:rsid w:val="00DF1F32"/>
    <w:rsid w:val="00E03CA5"/>
    <w:rsid w:val="00E04F9D"/>
    <w:rsid w:val="00E06893"/>
    <w:rsid w:val="00E06B7F"/>
    <w:rsid w:val="00E103B3"/>
    <w:rsid w:val="00E1241E"/>
    <w:rsid w:val="00E17393"/>
    <w:rsid w:val="00E17423"/>
    <w:rsid w:val="00E236BC"/>
    <w:rsid w:val="00E27C1D"/>
    <w:rsid w:val="00E56932"/>
    <w:rsid w:val="00E60EBE"/>
    <w:rsid w:val="00E6249E"/>
    <w:rsid w:val="00E73D1D"/>
    <w:rsid w:val="00E75AD6"/>
    <w:rsid w:val="00EA434E"/>
    <w:rsid w:val="00EB5B34"/>
    <w:rsid w:val="00ED3188"/>
    <w:rsid w:val="00EF59C3"/>
    <w:rsid w:val="00EF5FD2"/>
    <w:rsid w:val="00F14E2D"/>
    <w:rsid w:val="00F24659"/>
    <w:rsid w:val="00F26064"/>
    <w:rsid w:val="00F300F3"/>
    <w:rsid w:val="00F3232C"/>
    <w:rsid w:val="00F34330"/>
    <w:rsid w:val="00F36037"/>
    <w:rsid w:val="00F4055A"/>
    <w:rsid w:val="00F42F6E"/>
    <w:rsid w:val="00F46DEF"/>
    <w:rsid w:val="00F474BA"/>
    <w:rsid w:val="00F5383E"/>
    <w:rsid w:val="00F56552"/>
    <w:rsid w:val="00F669BE"/>
    <w:rsid w:val="00F77265"/>
    <w:rsid w:val="00F82BC2"/>
    <w:rsid w:val="00F8797E"/>
    <w:rsid w:val="00F94004"/>
    <w:rsid w:val="00F94E18"/>
    <w:rsid w:val="00F95290"/>
    <w:rsid w:val="00FA464E"/>
    <w:rsid w:val="00FB1D70"/>
    <w:rsid w:val="00FB4180"/>
    <w:rsid w:val="00FC1280"/>
    <w:rsid w:val="00FC5CCC"/>
    <w:rsid w:val="00FE2412"/>
    <w:rsid w:val="00FE5ED4"/>
    <w:rsid w:val="00FE6E52"/>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E501DE"/>
  <w15:docId w15:val="{579074F0-E30E-48FE-9C28-F20E575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23"/>
    <w:rPr>
      <w:sz w:val="24"/>
      <w:szCs w:val="24"/>
    </w:rPr>
  </w:style>
  <w:style w:type="paragraph" w:styleId="Heading1">
    <w:name w:val="heading 1"/>
    <w:basedOn w:val="Normal"/>
    <w:next w:val="Normal"/>
    <w:link w:val="Heading1Char"/>
    <w:qFormat/>
    <w:rsid w:val="00B26A2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3915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3A1"/>
    <w:pPr>
      <w:autoSpaceDE w:val="0"/>
      <w:autoSpaceDN w:val="0"/>
      <w:adjustRightInd w:val="0"/>
    </w:pPr>
    <w:rPr>
      <w:color w:val="000000"/>
      <w:sz w:val="24"/>
      <w:szCs w:val="24"/>
    </w:rPr>
  </w:style>
  <w:style w:type="paragraph" w:styleId="Header">
    <w:name w:val="header"/>
    <w:basedOn w:val="Normal"/>
    <w:rsid w:val="00AA22FC"/>
    <w:pPr>
      <w:tabs>
        <w:tab w:val="center" w:pos="4320"/>
        <w:tab w:val="right" w:pos="8640"/>
      </w:tabs>
    </w:pPr>
  </w:style>
  <w:style w:type="paragraph" w:styleId="Footer">
    <w:name w:val="footer"/>
    <w:basedOn w:val="Normal"/>
    <w:link w:val="FooterChar"/>
    <w:uiPriority w:val="99"/>
    <w:rsid w:val="00265124"/>
    <w:pPr>
      <w:tabs>
        <w:tab w:val="center" w:pos="4320"/>
        <w:tab w:val="right" w:pos="8640"/>
      </w:tabs>
      <w:jc w:val="center"/>
    </w:pPr>
  </w:style>
  <w:style w:type="character" w:styleId="PageNumber">
    <w:name w:val="page number"/>
    <w:basedOn w:val="DefaultParagraphFont"/>
    <w:rsid w:val="00CF2472"/>
  </w:style>
  <w:style w:type="paragraph" w:styleId="BalloonText">
    <w:name w:val="Balloon Text"/>
    <w:basedOn w:val="Normal"/>
    <w:semiHidden/>
    <w:rsid w:val="00345FB2"/>
    <w:rPr>
      <w:rFonts w:ascii="Tahoma" w:hAnsi="Tahoma" w:cs="Tahoma"/>
      <w:sz w:val="16"/>
      <w:szCs w:val="16"/>
    </w:rPr>
  </w:style>
  <w:style w:type="character" w:styleId="CommentReference">
    <w:name w:val="annotation reference"/>
    <w:basedOn w:val="DefaultParagraphFont"/>
    <w:rsid w:val="009656EA"/>
    <w:rPr>
      <w:sz w:val="16"/>
      <w:szCs w:val="16"/>
    </w:rPr>
  </w:style>
  <w:style w:type="paragraph" w:styleId="CommentText">
    <w:name w:val="annotation text"/>
    <w:basedOn w:val="Normal"/>
    <w:link w:val="CommentTextChar"/>
    <w:rsid w:val="009656EA"/>
    <w:rPr>
      <w:sz w:val="20"/>
      <w:szCs w:val="20"/>
    </w:rPr>
  </w:style>
  <w:style w:type="character" w:customStyle="1" w:styleId="CommentTextChar">
    <w:name w:val="Comment Text Char"/>
    <w:basedOn w:val="DefaultParagraphFont"/>
    <w:link w:val="CommentText"/>
    <w:rsid w:val="009656EA"/>
  </w:style>
  <w:style w:type="paragraph" w:styleId="CommentSubject">
    <w:name w:val="annotation subject"/>
    <w:basedOn w:val="CommentText"/>
    <w:next w:val="CommentText"/>
    <w:link w:val="CommentSubjectChar"/>
    <w:rsid w:val="009656EA"/>
    <w:rPr>
      <w:b/>
      <w:bCs/>
    </w:rPr>
  </w:style>
  <w:style w:type="character" w:customStyle="1" w:styleId="CommentSubjectChar">
    <w:name w:val="Comment Subject Char"/>
    <w:basedOn w:val="CommentTextChar"/>
    <w:link w:val="CommentSubject"/>
    <w:rsid w:val="009656EA"/>
    <w:rPr>
      <w:b/>
      <w:bCs/>
    </w:rPr>
  </w:style>
  <w:style w:type="paragraph" w:styleId="Revision">
    <w:name w:val="Revision"/>
    <w:hidden/>
    <w:uiPriority w:val="99"/>
    <w:semiHidden/>
    <w:rsid w:val="009656EA"/>
    <w:rPr>
      <w:sz w:val="24"/>
      <w:szCs w:val="24"/>
    </w:rPr>
  </w:style>
  <w:style w:type="paragraph" w:styleId="ListParagraph">
    <w:name w:val="List Paragraph"/>
    <w:basedOn w:val="Normal"/>
    <w:uiPriority w:val="34"/>
    <w:qFormat/>
    <w:rsid w:val="002127A6"/>
    <w:pPr>
      <w:ind w:left="720"/>
      <w:contextualSpacing/>
    </w:pPr>
  </w:style>
  <w:style w:type="character" w:customStyle="1" w:styleId="FooterChar">
    <w:name w:val="Footer Char"/>
    <w:basedOn w:val="DefaultParagraphFont"/>
    <w:link w:val="Footer"/>
    <w:uiPriority w:val="99"/>
    <w:rsid w:val="00265124"/>
    <w:rPr>
      <w:sz w:val="24"/>
      <w:szCs w:val="24"/>
    </w:rPr>
  </w:style>
  <w:style w:type="paragraph" w:styleId="PlainText">
    <w:name w:val="Plain Text"/>
    <w:basedOn w:val="Normal"/>
    <w:link w:val="PlainTextChar"/>
    <w:uiPriority w:val="99"/>
    <w:rsid w:val="0005046E"/>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5046E"/>
    <w:rPr>
      <w:rFonts w:ascii="Courier New" w:hAnsi="Courier New"/>
      <w:lang w:val="x-none" w:eastAsia="x-none"/>
    </w:rPr>
  </w:style>
  <w:style w:type="character" w:customStyle="1" w:styleId="Heading2Char">
    <w:name w:val="Heading 2 Char"/>
    <w:basedOn w:val="DefaultParagraphFont"/>
    <w:link w:val="Heading2"/>
    <w:semiHidden/>
    <w:rsid w:val="0039151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97813"/>
    <w:rPr>
      <w:color w:val="0563C1" w:themeColor="hyperlink"/>
      <w:u w:val="single"/>
    </w:rPr>
  </w:style>
  <w:style w:type="character" w:styleId="FollowedHyperlink">
    <w:name w:val="FollowedHyperlink"/>
    <w:basedOn w:val="DefaultParagraphFont"/>
    <w:rsid w:val="00C33356"/>
    <w:rPr>
      <w:color w:val="954F72" w:themeColor="followedHyperlink"/>
      <w:u w:val="single"/>
    </w:rPr>
  </w:style>
  <w:style w:type="paragraph" w:styleId="EndnoteText">
    <w:name w:val="endnote text"/>
    <w:basedOn w:val="Normal"/>
    <w:link w:val="EndnoteTextChar"/>
    <w:rsid w:val="00253E1F"/>
    <w:rPr>
      <w:sz w:val="20"/>
      <w:szCs w:val="20"/>
    </w:rPr>
  </w:style>
  <w:style w:type="character" w:customStyle="1" w:styleId="EndnoteTextChar">
    <w:name w:val="Endnote Text Char"/>
    <w:basedOn w:val="DefaultParagraphFont"/>
    <w:link w:val="EndnoteText"/>
    <w:rsid w:val="00253E1F"/>
  </w:style>
  <w:style w:type="character" w:styleId="EndnoteReference">
    <w:name w:val="endnote reference"/>
    <w:basedOn w:val="DefaultParagraphFont"/>
    <w:rsid w:val="00253E1F"/>
    <w:rPr>
      <w:vertAlign w:val="superscript"/>
    </w:rPr>
  </w:style>
  <w:style w:type="paragraph" w:styleId="FootnoteText">
    <w:name w:val="footnote text"/>
    <w:basedOn w:val="Normal"/>
    <w:link w:val="FootnoteTextChar"/>
    <w:rsid w:val="003C7FA0"/>
    <w:rPr>
      <w:sz w:val="20"/>
      <w:szCs w:val="20"/>
    </w:rPr>
  </w:style>
  <w:style w:type="character" w:customStyle="1" w:styleId="FootnoteTextChar">
    <w:name w:val="Footnote Text Char"/>
    <w:basedOn w:val="DefaultParagraphFont"/>
    <w:link w:val="FootnoteText"/>
    <w:rsid w:val="003C7FA0"/>
  </w:style>
  <w:style w:type="character" w:styleId="FootnoteReference">
    <w:name w:val="footnote reference"/>
    <w:basedOn w:val="DefaultParagraphFont"/>
    <w:rsid w:val="003C7FA0"/>
    <w:rPr>
      <w:vertAlign w:val="superscript"/>
    </w:rPr>
  </w:style>
  <w:style w:type="table" w:styleId="TableGrid">
    <w:name w:val="Table Grid"/>
    <w:basedOn w:val="TableNormal"/>
    <w:rsid w:val="00CD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6A25"/>
    <w:rPr>
      <w:rFonts w:asciiTheme="majorHAnsi" w:eastAsiaTheme="majorEastAsia" w:hAnsiTheme="majorHAnsi" w:cstheme="majorBidi"/>
      <w:b/>
      <w:bCs/>
      <w:color w:val="2E74B5" w:themeColor="accent1" w:themeShade="BF"/>
      <w:sz w:val="28"/>
      <w:szCs w:val="28"/>
    </w:rPr>
  </w:style>
  <w:style w:type="table" w:styleId="LightShading-Accent3">
    <w:name w:val="Light Shading Accent 3"/>
    <w:basedOn w:val="TableNormal"/>
    <w:uiPriority w:val="60"/>
    <w:rsid w:val="00D72CF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Accent3">
    <w:name w:val="Medium List 1 Accent 3"/>
    <w:basedOn w:val="TableNormal"/>
    <w:uiPriority w:val="65"/>
    <w:rsid w:val="00D72CF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855">
      <w:bodyDiv w:val="1"/>
      <w:marLeft w:val="0"/>
      <w:marRight w:val="0"/>
      <w:marTop w:val="0"/>
      <w:marBottom w:val="0"/>
      <w:divBdr>
        <w:top w:val="none" w:sz="0" w:space="0" w:color="auto"/>
        <w:left w:val="none" w:sz="0" w:space="0" w:color="auto"/>
        <w:bottom w:val="none" w:sz="0" w:space="0" w:color="auto"/>
        <w:right w:val="none" w:sz="0" w:space="0" w:color="auto"/>
      </w:divBdr>
    </w:div>
    <w:div w:id="220679436">
      <w:bodyDiv w:val="1"/>
      <w:marLeft w:val="0"/>
      <w:marRight w:val="0"/>
      <w:marTop w:val="0"/>
      <w:marBottom w:val="0"/>
      <w:divBdr>
        <w:top w:val="none" w:sz="0" w:space="0" w:color="auto"/>
        <w:left w:val="none" w:sz="0" w:space="0" w:color="auto"/>
        <w:bottom w:val="none" w:sz="0" w:space="0" w:color="auto"/>
        <w:right w:val="none" w:sz="0" w:space="0" w:color="auto"/>
      </w:divBdr>
    </w:div>
    <w:div w:id="233666932">
      <w:bodyDiv w:val="1"/>
      <w:marLeft w:val="0"/>
      <w:marRight w:val="0"/>
      <w:marTop w:val="0"/>
      <w:marBottom w:val="0"/>
      <w:divBdr>
        <w:top w:val="none" w:sz="0" w:space="0" w:color="auto"/>
        <w:left w:val="none" w:sz="0" w:space="0" w:color="auto"/>
        <w:bottom w:val="none" w:sz="0" w:space="0" w:color="auto"/>
        <w:right w:val="none" w:sz="0" w:space="0" w:color="auto"/>
      </w:divBdr>
    </w:div>
    <w:div w:id="308247055">
      <w:bodyDiv w:val="1"/>
      <w:marLeft w:val="0"/>
      <w:marRight w:val="0"/>
      <w:marTop w:val="0"/>
      <w:marBottom w:val="0"/>
      <w:divBdr>
        <w:top w:val="none" w:sz="0" w:space="0" w:color="auto"/>
        <w:left w:val="none" w:sz="0" w:space="0" w:color="auto"/>
        <w:bottom w:val="none" w:sz="0" w:space="0" w:color="auto"/>
        <w:right w:val="none" w:sz="0" w:space="0" w:color="auto"/>
      </w:divBdr>
    </w:div>
    <w:div w:id="331177817">
      <w:bodyDiv w:val="1"/>
      <w:marLeft w:val="0"/>
      <w:marRight w:val="0"/>
      <w:marTop w:val="0"/>
      <w:marBottom w:val="0"/>
      <w:divBdr>
        <w:top w:val="none" w:sz="0" w:space="0" w:color="auto"/>
        <w:left w:val="none" w:sz="0" w:space="0" w:color="auto"/>
        <w:bottom w:val="none" w:sz="0" w:space="0" w:color="auto"/>
        <w:right w:val="none" w:sz="0" w:space="0" w:color="auto"/>
      </w:divBdr>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1109007323">
      <w:bodyDiv w:val="1"/>
      <w:marLeft w:val="0"/>
      <w:marRight w:val="0"/>
      <w:marTop w:val="0"/>
      <w:marBottom w:val="0"/>
      <w:divBdr>
        <w:top w:val="none" w:sz="0" w:space="0" w:color="auto"/>
        <w:left w:val="none" w:sz="0" w:space="0" w:color="auto"/>
        <w:bottom w:val="none" w:sz="0" w:space="0" w:color="auto"/>
        <w:right w:val="none" w:sz="0" w:space="0" w:color="auto"/>
      </w:divBdr>
    </w:div>
    <w:div w:id="1288707011">
      <w:bodyDiv w:val="1"/>
      <w:marLeft w:val="0"/>
      <w:marRight w:val="0"/>
      <w:marTop w:val="0"/>
      <w:marBottom w:val="0"/>
      <w:divBdr>
        <w:top w:val="none" w:sz="0" w:space="0" w:color="auto"/>
        <w:left w:val="none" w:sz="0" w:space="0" w:color="auto"/>
        <w:bottom w:val="none" w:sz="0" w:space="0" w:color="auto"/>
        <w:right w:val="none" w:sz="0" w:space="0" w:color="auto"/>
      </w:divBdr>
    </w:div>
    <w:div w:id="1411612283">
      <w:bodyDiv w:val="1"/>
      <w:marLeft w:val="0"/>
      <w:marRight w:val="0"/>
      <w:marTop w:val="0"/>
      <w:marBottom w:val="0"/>
      <w:divBdr>
        <w:top w:val="none" w:sz="0" w:space="0" w:color="auto"/>
        <w:left w:val="none" w:sz="0" w:space="0" w:color="auto"/>
        <w:bottom w:val="none" w:sz="0" w:space="0" w:color="auto"/>
        <w:right w:val="none" w:sz="0" w:space="0" w:color="auto"/>
      </w:divBdr>
    </w:div>
    <w:div w:id="1721129833">
      <w:bodyDiv w:val="1"/>
      <w:marLeft w:val="0"/>
      <w:marRight w:val="0"/>
      <w:marTop w:val="0"/>
      <w:marBottom w:val="0"/>
      <w:divBdr>
        <w:top w:val="none" w:sz="0" w:space="0" w:color="auto"/>
        <w:left w:val="none" w:sz="0" w:space="0" w:color="auto"/>
        <w:bottom w:val="none" w:sz="0" w:space="0" w:color="auto"/>
        <w:right w:val="none" w:sz="0" w:space="0" w:color="auto"/>
      </w:divBdr>
    </w:div>
    <w:div w:id="1722826155">
      <w:bodyDiv w:val="1"/>
      <w:marLeft w:val="0"/>
      <w:marRight w:val="0"/>
      <w:marTop w:val="0"/>
      <w:marBottom w:val="0"/>
      <w:divBdr>
        <w:top w:val="none" w:sz="0" w:space="0" w:color="auto"/>
        <w:left w:val="none" w:sz="0" w:space="0" w:color="auto"/>
        <w:bottom w:val="none" w:sz="0" w:space="0" w:color="auto"/>
        <w:right w:val="none" w:sz="0" w:space="0" w:color="auto"/>
      </w:divBdr>
    </w:div>
    <w:div w:id="1903171499">
      <w:bodyDiv w:val="1"/>
      <w:marLeft w:val="0"/>
      <w:marRight w:val="0"/>
      <w:marTop w:val="0"/>
      <w:marBottom w:val="0"/>
      <w:divBdr>
        <w:top w:val="none" w:sz="0" w:space="0" w:color="auto"/>
        <w:left w:val="none" w:sz="0" w:space="0" w:color="auto"/>
        <w:bottom w:val="none" w:sz="0" w:space="0" w:color="auto"/>
        <w:right w:val="none" w:sz="0" w:space="0" w:color="auto"/>
      </w:divBdr>
    </w:div>
    <w:div w:id="20931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SID=8c43df823bf33ab3a807224985d9ca71&amp;mc=true&amp;node=se2.1.200_182&amp;rgn=div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node=pt45.1.7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l.gov/agencies/whd/fact-sheets/21-flsa-recordkeep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5f038cb75a4fceb51cc39e621520b129&amp;mc=true&amp;node=pt2.1.200&amp;rgn=div5" TargetMode="External"/><Relationship Id="rId5" Type="http://schemas.openxmlformats.org/officeDocument/2006/relationships/webSettings" Target="webSettings.xml"/><Relationship Id="rId15" Type="http://schemas.openxmlformats.org/officeDocument/2006/relationships/hyperlink" Target="https://www.law.cornell.edu/uscode/text/18/1519" TargetMode="External"/><Relationship Id="rId10" Type="http://schemas.openxmlformats.org/officeDocument/2006/relationships/hyperlink" Target="https://www.ecfr.gov/cgi-bin/text-idx?node=pt45.1.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5f038cb75a4fceb51cc39e621520b129&amp;mc=true&amp;node=pt2.1.200&amp;rgn=div5" TargetMode="External"/><Relationship Id="rId14" Type="http://schemas.openxmlformats.org/officeDocument/2006/relationships/hyperlink" Target="https://www.ecfr.gov/cgi-bin/text-idx?node=pt45.1.7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rs.gov/publications/p15" TargetMode="External"/><Relationship Id="rId3" Type="http://schemas.openxmlformats.org/officeDocument/2006/relationships/hyperlink" Target="https://www.ecfr.gov/cgi-bin/text-idx?SID=3f86aae024af1c9f514b81d44e3a11ab&amp;mc=true&amp;node=se2.1.200_1344&amp;rgn=div8" TargetMode="External"/><Relationship Id="rId7" Type="http://schemas.openxmlformats.org/officeDocument/2006/relationships/hyperlink" Target="https://www.law.cornell.edu/uscode/text/18/1519" TargetMode="External"/><Relationship Id="rId12" Type="http://schemas.openxmlformats.org/officeDocument/2006/relationships/hyperlink" Target="https://www.law.cornell.edu/uscode/text/8/1324a" TargetMode="External"/><Relationship Id="rId2" Type="http://schemas.openxmlformats.org/officeDocument/2006/relationships/hyperlink" Target="https://www.ecfr.gov/cgi-bin/text-idx?node=pt45.1.75" TargetMode="External"/><Relationship Id="rId1" Type="http://schemas.openxmlformats.org/officeDocument/2006/relationships/hyperlink" Target="https://www.ecfr.gov/cgi-bin/text-idx?SID=e7991b157c0ee27938303355e92f8df0&amp;mc=true&amp;node=pt2.1.200&amp;rgn=div5" TargetMode="External"/><Relationship Id="rId6" Type="http://schemas.openxmlformats.org/officeDocument/2006/relationships/hyperlink" Target="https://www.ecfr.gov/cgi-bin/text-idx?node=pt45.1.75" TargetMode="External"/><Relationship Id="rId11" Type="http://schemas.openxmlformats.org/officeDocument/2006/relationships/hyperlink" Target="https://www.law.cornell.edu/uscode/text/8/1324a" TargetMode="External"/><Relationship Id="rId5" Type="http://schemas.openxmlformats.org/officeDocument/2006/relationships/hyperlink" Target="https://www.ecfr.gov/cgi-bin/text-idx?SID=2896d5ea669bde0240eae31b471d7618&amp;mc=true&amp;node=pt2.1.200&amp;rgn=div5" TargetMode="External"/><Relationship Id="rId10" Type="http://schemas.openxmlformats.org/officeDocument/2006/relationships/hyperlink" Target="https://www.ecfr.gov/cgi-bin/text-idx?node=pt45.1.75" TargetMode="External"/><Relationship Id="rId4" Type="http://schemas.openxmlformats.org/officeDocument/2006/relationships/hyperlink" Target="https://www.ecfr.gov/cgi-bin/text-idx?node=pt45.1.75" TargetMode="External"/><Relationship Id="rId9" Type="http://schemas.openxmlformats.org/officeDocument/2006/relationships/hyperlink" Target="https://www.ecfr.gov/cgi-bin/text-idx?SID=33a1dcec9dd2d54a4142079e0de84a2d&amp;mc=true&amp;node=pt2.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F87B0-CE95-4945-97E5-B96FA7D3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ABCD  Record Retention Policy</vt:lpstr>
    </vt:vector>
  </TitlesOfParts>
  <Company>ABCD, Inc.</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  Record Retention Policy</dc:title>
  <dc:creator>Administrator</dc:creator>
  <cp:lastModifiedBy>Elle Enander</cp:lastModifiedBy>
  <cp:revision>2</cp:revision>
  <cp:lastPrinted>2011-08-22T19:01:00Z</cp:lastPrinted>
  <dcterms:created xsi:type="dcterms:W3CDTF">2020-06-04T15:54:00Z</dcterms:created>
  <dcterms:modified xsi:type="dcterms:W3CDTF">2020-06-04T15:54:00Z</dcterms:modified>
</cp:coreProperties>
</file>